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ATAS/617/2012 vom 3. Mai 2012</w:t>
      </w:r>
    </w:p>
    <w:p>
      <w:r>
        <w:t>GE Cour de justice, 2012-05-03, FR</w:t>
      </w:r>
    </w:p>
    <w:p>
      <w:r>
        <w:rPr>
          <w:b/>
        </w:rPr>
        <w:t xml:space="preserve">Quelle: </w:t>
      </w:r>
      <w:r>
        <w:t>https://mcp.opencaselaw.ch/entscheid/ge_gerichte_ATAS_617_2012</w:t>
      </w:r>
    </w:p>
    <w:p>
      <w:r>
        <w:t>FR: GE_GERICHTE ATAS/617/2012 du 3 mai 2012</w:t>
      </w:r>
    </w:p>
    <w:p>
      <w:r>
        <w:t>IT: GE_GERICHTE ATAS/617/2012 del 3 maggio 2012</w:t>
      </w:r>
    </w:p>
    <w:p>
      <w:pPr>
        <w:pStyle w:val="Heading2"/>
      </w:pPr>
      <w:r>
        <w:t>Erwägungen</w:t>
      </w:r>
    </w:p>
    <w:p>
      <w:r>
        <w:rPr>
          <w:b/>
        </w:rPr>
        <w:t>E. 1</w:t>
      </w:r>
    </w:p>
    <w:p>
      <w:r>
        <w:t>Se pose au préalable la question de savoir si le recours est recevable et, notamment, si c’était à l’intimé de rendre une décision de compensation, comme le soutient la recourante.</w:t>
      </w:r>
    </w:p>
    <w:p>
      <w:r>
        <w:rPr>
          <w:b/>
        </w:rPr>
        <w:t>E. 2</w:t>
      </w:r>
    </w:p>
    <w:p>
      <w:r>
        <w:t>La Chambre des assurances sociales de la Cour de justice a déjà eu l’occasion, dans un arrêt récent rendu le 4 mai 2011 (ATAS/437/2011), de constater que ce n’était pas au SPC de rendre une décision de retenue sur rente AVS pour compenser une créance en restitution mais bel et bien à la caisse de compensation versant la rente AVS en question. (consid. 5ss de l’arrêt susmentionné).</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