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ATAS/617/2011 vom 8. Juni 2011</w:t>
      </w:r>
    </w:p>
    <w:p>
      <w:r>
        <w:t>GE Cour de justice, 2011-06-08, FR</w:t>
      </w:r>
    </w:p>
    <w:p>
      <w:r>
        <w:rPr>
          <w:b/>
        </w:rPr>
        <w:t xml:space="preserve">Quelle: </w:t>
      </w:r>
      <w:r>
        <w:t>https://mcp.opencaselaw.ch/entscheid/ge_gerichte_ATAS_617_2011</w:t>
      </w:r>
    </w:p>
    <w:p>
      <w:r>
        <w:t>FR: GE_GERICHTE ATAS/617/2011 du 8 juin 2011</w:t>
      </w:r>
    </w:p>
    <w:p>
      <w:r>
        <w:t>IT: GE_GERICHTE ATAS/617/2011 del 8 giugno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w:t>
      </w:r>
    </w:p>
    <w:p>
      <w:r>
        <w:t>A/3252/2010 - 7/9 -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w:t>
      </w:r>
    </w:p>
    <w:p>
      <w:r>
        <w:rPr>
          <w:b/>
        </w:rPr>
        <w:t>E. 2</w:t>
      </w:r>
    </w:p>
    <w:p>
      <w:r>
        <w:t>a) En ce qui concerne la recevabilité, le recours respecte le délai et la forme prescrits par la loi (art. 56 ss LPGA). b) Toutefois, en ce que le recourant conteste le refus de l’intimé d’entrer en matière sur sa demande de reconsidération, son recours est irrecevable. En effet, selon la jurisprudence,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w:t>
      </w:r>
    </w:p>
    <w:p>
      <w:r>
        <w:rPr>
          <w:b/>
        </w:rPr>
        <w:t>E. 6</w:t>
      </w:r>
    </w:p>
    <w:p>
      <w:r>
        <w:t>L’émolument de justice, fixé au minimum légal de 200 fr., est mis à la charge du recourant.</w:t>
      </w:r>
    </w:p>
    <w:p>
      <w:r>
        <w:t>A/3252/2010 - 9/9 -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