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ATAS/617/2008 vom 28. Mai 2008</w:t>
      </w:r>
    </w:p>
    <w:p>
      <w:r>
        <w:t>GE Cour de justice, 2008-05-28, FR</w:t>
      </w:r>
    </w:p>
    <w:p>
      <w:r>
        <w:rPr>
          <w:b/>
        </w:rPr>
        <w:t xml:space="preserve">Quelle: </w:t>
      </w:r>
      <w:r>
        <w:t>https://mcp.opencaselaw.ch/entscheid/ge_gerichte_ATAS_617_2008</w:t>
      </w:r>
    </w:p>
    <w:p>
      <w:r>
        <w:t>FR: GE_GERICHTE ATAS/617/2008 du 28 mai 2008</w:t>
      </w:r>
    </w:p>
    <w:p>
      <w:r>
        <w:t>IT: GE_GERICHTE ATAS/617/2008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litigieux doit-il être examiné à l'aune des dispositions de la LAI en vigueur jusqu'au 31 décembre 2002, pour la période courant jusqu'à cette date, puis à celle de la nouvelle réglementation pour la période postérieure. Les dispositions de la novelle du 21 mars 2003 modifiant la LAI (4ème révision), entrées en vigueur le 1er janvier 2004 (RO 2003 3852), sont régies par le même principe. Les règles de procédure quant à elles s'appliquent sans réserve dès le jour de son entrée en vigueur (ATF 117 V 93 consid. 6b, 112 V 360 consid. 4a; RAMA 1998 KV 37 p. 316 consid. 3b).</w:t>
      </w:r>
    </w:p>
    <w:p>
      <w:r>
        <w:rPr>
          <w:b/>
        </w:rPr>
        <w:t>E. 3</w:t>
      </w:r>
    </w:p>
    <w:p>
      <w:r>
        <w:t>Interjeté dans les forme et délais prescrits par la loi, le recours est recevable (art. 56 et 60 LPGA).</w:t>
      </w:r>
    </w:p>
    <w:p>
      <w:r>
        <w:rPr>
          <w:b/>
        </w:rPr>
        <w:t>E. 4</w:t>
      </w:r>
    </w:p>
    <w:p>
      <w:r>
        <w:t>Le litige porte sur le droit de la recourante à des prestations de l'assurance-invalidité et plus particulièrement sur son degré d'invalidité.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w:t>
      </w:r>
    </w:p>
    <w:p>
      <w:r>
        <w:t>A/4198/2007 - 7/11 -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Par ailleurs, selon l'art. 28 al. 2 LAI en corrélation avec les art. 7 et 16 LPGA, la réadaptation a la priorité sur la rente dont l'octroi n'entre en ligne de compte que si une réadaptation suffisante est impossible (ATFA du 13 juin 2007, I 552/06 consid. 3.1). Saisie d'une demande de rente ou appelée à se prononcer à l'occasion d'une révision de celle-ci, l'administration doit donc élucider d'office, avant toute chose, la question de la réintégration de l'assuré dans le circuit économique (ATF 108 V 212, 99 V 48).</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Les données médicales constituent ainsi un élément utile pour</w:t>
      </w:r>
    </w:p>
    <w:p>
      <w:r>
        <w:t>A/4198/2007 - 8/11 - déterminer quels travaux sont raisonnablement exigibles de la part de l'assuré (ATF 125 V 261 consid. 4, 115 V 134 consid. 2, 114 V 314 consid. 3c, 105 V 158 consid. 1; SPIRA, La preuve en droit des assurances sociales, in Mélanges en l'honneur de Henri-Robert Schüpbach, Bâle 2000, p. 268 ). Lorsque le litige concerne plus particulièrement des mesures d'ordre professionnel, le médecin indiquera, en outre, si l'état de santé de l'assuré permet le reclassement ou la formation dans une nouvelle profession et, dans l'affirmative, quelles sont les activités adaptées au handicap de l'intéressé du point de vue médical.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selon le Dr L__________, la recourante souffre de multiples allergies de contact depuis 1995, d’un état dépressif réactionnel survenu en 1999 et d’une polyarthrite rhumatoïde apparue en 2005. S’agissant de cette dernière affection, il a précisé que les symptômes, notamment un syndrome inflammatoire biologique, évoquaient une possible polyarthrite rhumatoïde. Les examens sanguins pratiqués en date des 17 janvier 2005, 24 février 2005 et 8 novembre 2005 montraient en chimie clinique dans les protéines spécifiques un CRP ultra-sensible et en rhumatologie un facteur rhumatoïde par immuno-turbidimétrie douteux. Il avait suggéré à sa patiente un contrôle rhumatologique en cas de récidive, ce qui n’a pas été le cas. Selon le médecin traitant, l’incapacité de travail de la recourante est de 100 % dans l’activité de laborantine depuis 1995, en raison de ses allergies. En revanche, elle pourrait travailler dans un bureau. Le Dr Q__________, dermatologue, confirme que la recourante présente depuis 1995 une très forte allergie au chrome, au cobalt, à la chlorhexidine, la lanoline, ainsi qu'à l'acide fucidique. Le diagnostic de dermite de contact allergique avec polysensibilisation</w:t>
      </w:r>
    </w:p>
    <w:p>
      <w:r>
        <w:t>A/4198/2007 - 9/11 - avait été retenu. Il ne se prononce toutefois pas sur la capacité de travail de la recourante, que ce soit dans son métier de laborantine ou dans une autre activité. Sur le plan psychique, la recourante a été hospitalisée en entrée non volontaire à la Clinique psychiatrique de Belle-Idée du 30 avril au 9 mai 2000, pour un état dépressif avec consommation massive d'alcool suite au décès de son époux. Dans le résumé du séjour, les médecins indiquent que le diagnostic principal est un trouble de l'adaptation, réaction mixte, anxieuse et dépressive, avec comme facteur de stress chronique un isolement psychosocial. Quant à la Dresse M __________, elle a posé le diagnostic de personnalité dépendante : les troubles psychiques sont réactionnels au décès du mari et entraînent une incapacité de travail de 100 % depuis novembre 2004. Le SMR, qui a procédé à un examen bidisciplinaire de la recourante, conclut pour sa part à une capacité de travail totale dans toute activité, y compris celle de laborantine. Le diagnostic de fibromyalgie est sans influence sur la capacité de travail, dès lors que la recourante ne présente aucune comorbidité psychiatrique. Quant aux allergies, les produits auxquels la recourant semble être allergique sont facilement évitables. La recourante conteste l'appréciation du SMR, rappelant que son problème dermatologique a rendu impossible tout retour dans l'activité de laborantine. Elle conteste le diagnostic de fibromyalgie et allègue souffrir toujours de dépression pour laquelle elle est en traitement auprès d'une psychiatre. Le Tribunal de céans constate que sur le plan ostéo-articulaire, les médecins s'accordent à dire qu'il n'y a pas de limitations fonctionnelles. Le diagnostic de polyarthirte rhumatoïde peut être formellement exclu, selon les médecins du SMR, au vu de l'évolution et de l'anamnèse fournies. Sans être aussi catégorique, le médecin traitant a néanmoins relevé que durant l'année 2005, la présence des symptômes de tuméfactions articulaires, accompagnés de tests biologiques popsitifs, était transitoire et qu'il n'y a pas eu de récidive. Du point de vue psychiatrique, force est de constater que les renseignements donnés par la Dresse M __________ sont contradictoires: en effet, alors qu'elle mentionne le diagnostic de personnalité dépendante sous la rubrique des affections sans répercussion sur la capacité de travail, elle n'en conclut pas moins, dans le questionnaire relatif aux troubles psychiques, que les troubles psychiques entraînent une incapacité de travail de 100 %. Quant à l'examen psychiatrique effectué par le médecin du SMR, il y a lieu de relever qu'il comporte une anamnèse psychosociale et psychiatrique détaillée et un examen clinique sur la base desquels le psychiatre a conclu à un trouble dépressif récurrent, actuellement en rémission, sans répercussion sur la capacité de travail. Le Tribunal constate que le Dr P__________ a signé le rapport d'examen sans autre mention ; il résulte en effet de la liste des médecins établie par le SMR le 5 juillet 2007 que ce médecin a obtenu son FMH en psychiatrie et</w:t>
      </w:r>
    </w:p>
    <w:p>
      <w:r>
        <w:t>A/4198/2007 - 10/11 - psychothérapie en 2007 et que la demande d'autorisation de pratiquer était en cours. Par conséquent, force est de constater qu'au moment de l'examen et de l'établissement du rapport, le Dr P__________ ne disposait ni du titre de FMH en psychiatrie et psychothérapie, ni de l'autorisation de pratiquer. Par conséquent, en application de la jurisprudence, son rapport ne peut se voir attribuer une pleine valeur probante et le Tribunal de céans ne saurait tirer des conclusions définitives, en ce qui concerne l'existence éventuelle d'une incapacité de travail de nature psychique, en se fondant sur le seul rapport du SMR (cf. arrêt du 31 août 2007 I 65/07, arrêt du 10 avril 2008 9C _490/07). Enfin, les conclusions du SMR quant à l'influence des multiples allergies sur la capacité de travail dans l'activité de laborantine sont en totale contradiction avec celles du médecin traitant. A cet égard, le Tribunal de céans relève que l'intimé n'a pas interrogé les spécialistes en dermatologie et immunologie afin de savoir quelles sont les limitations fonctionnelles, si l'activité de laborantine est possible, le cas échéant à quelles conditions, étant rappelé que la recourante a toujours déclaré, qu'en bonne santé, elle aurait continué à exercer son métier. Il résulte en outre du dossier que la recourante ne peut manipuler la monnaie et qu'elle a perdu un emploi de vendeuse pour ce motif. Au vu de ces documents médicaux, contrairement à l'avis du SMR, on ne saurait exclure d'emblée, sans autre examen médical, que l'atteinte à la santé de la recourante n'a pas d'effet sur sa capacité de travail dans sa profession de laborantine. Il convient donc de renvoyer la cause à l'office intimé pour instruction complémentaire sur le point de savoir si et dans quelle mesure la recourante subit une diminution de sa capacité de travail en raison de problèmes liés aux allergies et, éventuellement, pour des raisons psychiques. Ceci fait, il conviendra alors d'examiner si des mesures d'ordre professionnel entrent en ligne de compte.</w:t>
      </w:r>
    </w:p>
    <w:p>
      <w:r>
        <w:rPr>
          <w:b/>
        </w:rPr>
        <w:t>E. 8</w:t>
      </w:r>
    </w:p>
    <w:p>
      <w:r>
        <w:t>Le recours est en conséquence partiellement admis.</w:t>
      </w:r>
    </w:p>
    <w:p>
      <w:r>
        <w:rPr>
          <w:b/>
        </w:rPr>
        <w:t>E. 9</w:t>
      </w:r>
    </w:p>
    <w:p>
      <w:r>
        <w:t>La recourante a droit à une indemnité à titre de participation à ses frais et dépens, fixée en l'espèce à 800 fr.</w:t>
      </w:r>
    </w:p>
    <w:p>
      <w:r>
        <w:rPr>
          <w:b/>
        </w:rPr>
        <w:t>E. 10</w:t>
      </w:r>
    </w:p>
    <w:p>
      <w:r>
        <w:t>Un émolument de 500 fr. est mis à charge de l'OCAI, qui succombe (art. 69 al. 1bis LAI).</w:t>
      </w:r>
    </w:p>
    <w:p>
      <w:r>
        <w:t>A/4198/2007 - 11/11 -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