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ATAS/616/2024 vom 8. August 2024</w:t>
      </w:r>
    </w:p>
    <w:p>
      <w:r>
        <w:t>GE Cour de justice, 2024-08-08, FR</w:t>
      </w:r>
    </w:p>
    <w:p>
      <w:r>
        <w:rPr>
          <w:b/>
        </w:rPr>
        <w:t xml:space="preserve">Quelle: </w:t>
      </w:r>
      <w:r>
        <w:t>https://mcp.opencaselaw.ch/entscheid/ge_gerichte_ATAS_616_2024</w:t>
      </w:r>
    </w:p>
    <w:p>
      <w:r>
        <w:t>FR: GE_GERICHTE ATAS/616/2024 du 8 août 2024</w:t>
      </w:r>
    </w:p>
    <w:p>
      <w:r>
        <w:t>IT: GE_GERICHTE ATAS/616/2024 del 8 agosto 2024</w:t>
      </w:r>
    </w:p>
    <w:p>
      <w:pPr>
        <w:pStyle w:val="Heading2"/>
      </w:pPr>
      <w:r>
        <w:t>Erwägungen</w:t>
      </w:r>
    </w:p>
    <w:p>
      <w:r>
        <w:rPr>
          <w:b/>
        </w:rPr>
        <w:t>E. 1.1</w:t>
      </w:r>
    </w:p>
    <w:p>
      <w:r>
        <w:t>A teneur de l’art. 58 al. 2 loi fédérale sur la partie générale du droit des assurances sociales du 6 octobre 2000 (LPGA - RS 830.1),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Par ailleurs, conformément à l'art. 134 al. 1 let. a ch. 5 de la loi sur l'organisation judiciaire, du 26 septembre 2010 (LOJ - E 2 05), la chambre des assurances sociales de la Cour de justice connaît en instance unique des contestations prévues à l’art. 56 LPGA relatives à la loi fédérale sur l'assurance-accidents, du 20 mars 1981 (LAA - RS 832.20).</w:t>
      </w:r>
    </w:p>
    <w:p>
      <w:r>
        <w:rPr>
          <w:b/>
        </w:rPr>
        <w:t>E. 1.2</w:t>
      </w:r>
    </w:p>
    <w:p>
      <w:r>
        <w:t>En l’espèce, selon le registre de l'office cantonal de la population et des migrations (ci-après : l’OCPM), le recourant est domicilié à Cruseilles, en Haute- Savoie, avec une adresse professionnelle à Genève. La Cour de céans est donc compétente ratione loci et materiae.</w:t>
      </w:r>
    </w:p>
    <w:p>
      <w:r>
        <w:rPr>
          <w:b/>
        </w:rPr>
        <w:t>E. 2</w:t>
      </w:r>
    </w:p>
    <w:p>
      <w:r>
        <w:t>Le délai de recours est de trente jours (art. 56 LPGA; art. 62 al. 1 de la loi sur la procédure administrative du 12 septembre 1985 [LPA - E 5 10]). Interjeté dans la forme et le délai prévus par la loi, le recours est recevable.</w:t>
      </w:r>
    </w:p>
    <w:p>
      <w:r>
        <w:rPr>
          <w:b/>
        </w:rPr>
        <w:t>E. 3</w:t>
      </w:r>
    </w:p>
    <w:p>
      <w:r>
        <w:t>Le litige porte sur le bien-fondé du refus de l’assurance intimée de prendre en charge l’intervention chirurgicale du 9 mai 2023, singulièrement sur l’existence d’un lien de causalité naturelle entre l’accident du 31 août 2021 et la hernie de la paroi abdominale.</w:t>
      </w:r>
    </w:p>
    <w:p>
      <w:r>
        <w:t>A/3875/2023 - 6/12 -</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4.2</w:t>
      </w:r>
    </w:p>
    <w:p>
      <w:r>
        <w:t>portant sur les rapports des services médicaux régionaux au sens de l'art. 49 al. 2 RAI). Compte tenu de la nature de l’atteinte et des études produites par le recourant, la Cour de céans est d’avis qu’un spécialiste en chirurgie viscérale serait plus à même de se prononcer sur la question du lien de causalité naturelle. En troisième lieu, ni le médecin-conseil de l’intimée, ni les médecins consultés par le recourant n’ont motivé leur position quant à l’absence – respectivement l’existence – d’un lien de causalité naturelle entre la chute et la hernie. En effet, le Dr C______ s’est contenté d’affirmer péremptoirement que « cette chute n’est pas susceptible d’avoir provoqué une hernie de la paroi abdominale », sans motiver aucunement sa position. Or, des explications circonstanciées seraient d’autant plus nécessaires que le recourant a produit plusieurs études dont il ressort que les chutes de hauteur font partie des mécanismes les plus courants conduisant à une hernie de la paroi abdominale, d’une part, et que, selon la jurisprudence, les chutes d'une hauteur comprise entre deux et environ quatre mètres font partie des accidents de gravité moyenne stricto sensu (arrêt du Tribunal fédéral 8C_496/2014 du 21 novembre 2014 consid. 4.2.3), d’autre part. Il ne s’agissait donc pas d’une chute banale ou insignifiante. Quant aux médecins traitants, ils ont appréhendé la question du lien de causalité entre l’accident du 30 août 2021 et la</w:t>
      </w:r>
    </w:p>
    <w:p>
      <w:r>
        <w:t>A/3875/2023 - 11/12 - hernie de la paroi abdominale, selon le raisonnement « post hoc, ergo propter hoc », non pertinent en matière d’assurance-accidents.</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A/3875/2023 - 7/12 -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5.2.1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w:t>
      </w:r>
    </w:p>
    <w:p>
      <w:r>
        <w:t>A/3875/2023 - 8/12 -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5.2.2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œuvre une expertise lorsqu'il apparaît nécessaire de clarifier les aspects médicaux du cas (ATF 117 V 283 consid. 4a).</w:t>
      </w:r>
    </w:p>
    <w:p>
      <w:r>
        <w:rPr>
          <w:b/>
        </w:rPr>
        <w:t>E. 6.2</w:t>
      </w:r>
    </w:p>
    <w:p>
      <w:r>
        <w:t>Dans la procédure en matière d'assurance sociale, régie par le principe inquisitoire, les parties ne supportent pas le fardeau de la preuve au sens de l'art. 8 du Code civil suisse du 10 décembre 1907 (CC - RS 210). L'obligation des parties d'apporter la preuve des faits qu'elles allèguent signifie seulement qu'à défaut, elles risquent de devoir supporter les conséquences de l'absence de preuve. Cette règle de preuve ne s'applique toutefois que lorsqu'il est impossible, en se fondant</w:t>
      </w:r>
    </w:p>
    <w:p>
      <w:r>
        <w:t>A/3875/2023 - 9/12 - sur l'appréciation des preuves conformément au principe inquisitoire, d'établir un état de fait qui apparaisse au moins vraisemblablement correspondre à la réalité (ATF 117 V 264 consid. 3b et la référence; arrêts du Tribunal fédéral des assurances U 379/2006 du 19 octobre 2006, consid. 2 et U 328/02 du 9 décembre 2003 consid. 3.1). Alors qu'il appartient à l’assuré de prouver l’existence ab initio d’un lien de causalité, c'est à l'assurance-accidents qu'incombe le fardeau de la preuve d'une prétendue disparition de la causalité en raison de l'atteinte du statu quo sine vel ante (RAMA 1994 n° U 206 p. 326, cf. aussi arrêt du Tribunal fédéral 8C_101/2008 du 6 août 2008 consid. 2.2).</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w:t>
      </w:r>
    </w:p>
    <w:p>
      <w:r>
        <w:t>A/3875/2023 - 10/12 -</w:t>
      </w:r>
    </w:p>
    <w:p>
      <w:r>
        <w:rPr>
          <w:b/>
        </w:rPr>
        <w:t>E. 8.1</w:t>
      </w:r>
    </w:p>
    <w:p>
      <w:r>
        <w:t>En l’espèce, le recourant a fait une chute le 30 août 2021. Dès le 18 mars 2022, une hernie graisseuse est constatée sur l’imagerie pratiquée. Cette hernie nécessitera, le 9 mai 2023, une intervention chirurgicale, que l’assurance intimée a refusé de prendre en charge, au vu, selon elle, de l’absence de lien de causalité naturelle entre l’accident et la hernie. De son côté, le recourant considère, en se référant notamment à l’appréciation de son chirurgien et à des études scientifiques, que la hernie de la paroi abdominale est consécutive à sa chute du 30 août 2021.</w:t>
      </w:r>
    </w:p>
    <w:p>
      <w:r>
        <w:rPr>
          <w:b/>
        </w:rPr>
        <w:t>E. 8.2</w:t>
      </w:r>
    </w:p>
    <w:p>
      <w:r>
        <w:t>En premier lieu, force est de constater qu’aucune des pièces du dossier ne comporte une anamnèse détaillée. En effet, aucune pièce n’évoque les circonstances exactes de l’accident, le mécanisme lésionnel ou encore les atteintes causées par la chute litigieuse. Ensuite, s’agissant des pièces médicales produites, on peut douter que le Dr D______ et le Dr C______ disposent de la bonne spécialité pour se prononcer sur l’existence d’un lien de causalité naturelle entre une chute de quatre mètres et une hernie de la paroi abdominale comme celle dont a souffert le recourant. En effet, le premier est généraliste, le second spécialisé en chirurgie orthopédique et traumatologie. Or,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(cf. arrêt du Tribunal fédéral 9C_826/2009 du 20 juillet 2010 consid.</w:t>
      </w:r>
    </w:p>
    <w:p>
      <w:r>
        <w:rPr>
          <w:b/>
        </w:rPr>
        <w:t>E. 8.3</w:t>
      </w:r>
    </w:p>
    <w:p>
      <w:r>
        <w:t>En réalité, comme cela ressort de ce qui précède, l’intimée a pris sa décision sur la base d’un dossier insuffisamment instruit et il n’est en l’état pas possible pour la Cour de céans de se faire une idée du déroulement exact de la chute et de ses suites et, partant, de se forger une opinion sur les conclusions des différents médecins. En particulier, il n’est pas possible de se prononcer sur le bien-fondé de la décision sur opposition querellée en se fiant aux rapports médicaux figurant au dossier. Dans la mesure où seul le médecin-conseil de l’intimée s’est prononcé, un renvoi pour instruction complémentaire s’impose afin de respecter le principe du double degré de juridiction. Au cours de cette instruction, il appartiendra à SWICA de procéder à une anamnèse en bonne et due forme avant de solliciter l’avis d’un expert en chirurgie viscérale.</w:t>
      </w:r>
    </w:p>
    <w:p>
      <w:r>
        <w:rPr>
          <w:b/>
        </w:rPr>
        <w:t>E. 9</w:t>
      </w:r>
    </w:p>
    <w:p>
      <w:r>
        <w:t>Le recours est donc partiellement admis et la décision sur opposition du 24 octobre 2023 annulée. La cause est renvoyée à l’intimée pour instruction complémentaire au sens des considérants et nouvelle décision. Quand bien même le recourant obtient partiellement gain de cause, il n'est pas représenté, de sorte qu'aucune indemnité ne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w:t>
      </w:r>
    </w:p>
    <w:p>
      <w:r>
        <w:t>A/3875/2023 - 12/12 -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