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ATAS/616/2019 vom 24. Juni 2019</w:t>
      </w:r>
    </w:p>
    <w:p>
      <w:r>
        <w:t>GE Cour de justice, 2019-06-24, FR</w:t>
      </w:r>
    </w:p>
    <w:p>
      <w:r>
        <w:rPr>
          <w:b/>
        </w:rPr>
        <w:t xml:space="preserve">Quelle: </w:t>
      </w:r>
      <w:r>
        <w:t>https://mcp.opencaselaw.ch/entscheid/ge_gerichte_ATAS_616_2019</w:t>
      </w:r>
    </w:p>
    <w:p>
      <w:r>
        <w:t>FR: GE_GERICHTE ATAS/616/2019 du 24 juin 2019</w:t>
      </w:r>
    </w:p>
    <w:p>
      <w:r>
        <w:t>IT: GE_GERICHTE ATAS/616/2019 del 24 giugno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du recourant de 26,2 jours, pour chômage imputable à une faute, l’intimé ayant réduit la sanction initiale de 33 jours de suspension.</w:t>
      </w:r>
    </w:p>
    <w:p>
      <w:r>
        <w:rPr>
          <w:b/>
        </w:rPr>
        <w:t>E. 4</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résiliation d’un contrat de travail procurant un revenu pris en considération à titre de gain intermédiaire</w:t>
      </w:r>
    </w:p>
    <w:p>
      <w:r>
        <w:t>A/691/2019 - 5/10 - constitue un chômage fautif si le salaire répondait aux exigences d’admissibilité de l’art. 24 al. 3 LACI (DTA 1998 p. 41 ; Boris RUBIN, Commentaire de la loi sur l’assurance-chômage 2014, p. 309, n°32). Pour qu’un assuré puisse être sanctionné en vertu de l’art. 44 al. 1 let. b OACI, trois conditions doivent être réunies. Il faut premièrement que l’assuré ait donné lui- même son congé. Il importe ensuite qu’au moment de résilier son contrat de travail, l’assuré n’ait pas eu d’assurance préalable d’un nouvel emploi. Enfin, il faut qu’aucune circonstance ne se soit opposée à la poursuite des rapports de travail (critère de l’exigibilité).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p. 309-310).</w:t>
      </w:r>
    </w:p>
    <w:p>
      <w:r>
        <w:rPr>
          <w:b/>
        </w:rPr>
        <w:t>E. 5</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rPr>
          <w:b/>
        </w:rPr>
        <w:t>E. 6</w:t>
      </w:r>
    </w:p>
    <w:p>
      <w:r>
        <w:t>a.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w:t>
      </w:r>
    </w:p>
    <w:p>
      <w:r>
        <w:t>A/691/2019 - 6/10 - sanction en fonction de la faute (arrêt du Tribunal fédéral 8C_425/2014 du 12 août 2014, consid. 5.1). b. Selon le Bulletin LACI/IC valable dès le 1er janvier 2017, D75 (Echelle de suspensions à l’intention des caisses de chômage) n° 1.D, la résiliation du contrat de travail par l’assuré ou d’un commun accord sans être assuré d’obtenir un nouvel emploi, constitue une faute grave. Selon le Bulletin LACI/IC D26,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Si l’assuré résilie un contrat de travail sur appel en raison du caractère trop extrême et imprévisible des fluctuations, il n’y a pas lieu de le suspendre de son droit à l’indemnité de chômage pour chômage fautif. La loi n’interdit pas le travail sur appel (ATF 125 III 67). Il faut cependant examiner si l’on peut exiger de la personne engagée dans une relation de travail sur appel qu’elle maintienne la relation contractuelle plutôt que d’être au chômage (arrêt du Tribunal fédéral C 258/03 du 27 janvier 2004). Cet arrêt a confirmé la réduction de 31 à 16 jours de suspension du droit à l’indemnité de l’assurée qui avait résilié son contrat de travail, jugé convenable, mais prévoyant un horaire du soir, en raison de sa situation familiale, dès lors qu’elle assumait seule la charge et l’éducation de deux jeunes enfants. Selon l’art. 16 al. 2 let. g LACI, n'est pas réputé convenable et, par conséquent, est exclu de l'obligation d'être accepté, tout travail qui exige du travailleur une disponibilité sur appel constante dépassant le cadre de l'occupation garantie. L’exigibilité de la continuation des rapports de travail est examinée plus sévèrement que le caractère convenable d’un emploi au sens de l’art. 16 LACI (ATF 124 V 234 consid. 4b/bb, p. 238 ; arrêts du 10 mai 2013 [8C 1021/2012] consid. 2.2 ; 30 avril 2009 [8C 958/2008]). Les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de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w:t>
      </w:r>
    </w:p>
    <w:p>
      <w:r>
        <w:t>A/691/2019 - 7/10 - de travail n’est plus exigible (arrêt du 4 septembre 2001 [C 378/00] ; Boris RUBIN, op.cit., p. 310). Le Bulletin LACI/IC D76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Et aux termes du Bulletin LACI/IC D78 les facteurs pris en compte pour la détermination du degré de la faute dans la présente échelle ne sont pas exhaustifs. Ils peuvent se combiner avec d’autres facteurs aggravants ou atténuants.</w:t>
      </w:r>
    </w:p>
    <w:p>
      <w:r>
        <w:rPr>
          <w:b/>
        </w:rPr>
        <w:t>E. 7</w:t>
      </w:r>
    </w:p>
    <w:p>
      <w:r>
        <w:t>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w:t>
      </w:r>
    </w:p>
    <w:p>
      <w:r>
        <w:rPr>
          <w:b/>
        </w:rPr>
        <w:t>E. 8</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w:t>
      </w:r>
    </w:p>
    <w:p>
      <w:r>
        <w:t>A/691/2019 - 8/10 -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10</w:t>
      </w:r>
    </w:p>
    <w:p>
      <w:r>
        <w:t>En l’occurrence, il est établi que le recourant a travaillé, sur appel, pour l’employeur, de manière plus ou moins régulière du 1er août 2015 au 5 octobre 2018. Il a effectué 102 jours de travail en 2015, 225 jours en 2016, 210 jours en 2017 et 150 jours en 2018. Il n’est pas contesté que le salaire réalisé par le recourant répondait aux exigences d’admissibilité de l’art. 24 al. 3 LACI précité, soit était conforme aux usages professionnels et locaux. Par ailleurs, même en l’absence d’un contrat écrit, il n’est pas contestable que le recourant a été engagé par l’employeur, par un contrat oral, pour une activité exercée sur appel, que le recourant a effectivement exercée entre le 1er août 2015 et le 5 octobre 2018.</w:t>
      </w:r>
    </w:p>
    <w:p>
      <w:r>
        <w:t>A/691/2019 - 9/10 - Enfin, l’emploi était exigible, nonobstant les critiques évoquées par le recourant au sujet du manque de régularité d’un travail sur appel et de l’absence d’information que l’employeur aurait dû lui fournir sur les règles de sécurité et les risques de l’emploi, ces éléments n’étant pas de nature, au vu de la jurisprudence précitée, à qualifier l’activité de non-exigible. Le recourant a indiqué qu’il s’était rendu chez l’employeur le 23 octobre 2018 pour l’informer qu’il partait à Neuchâtel, endroit où il y avait de forte possibilités d’emploi, pour signer un contrat de travail (recours du 20 février 2019 et procès- verbal d’audience du 17 juin 2019). Le recourant a précisé qu’il avait séjourné trois semaines à Neuchâtel et qu’il n’avait pas indiqué à l’employeur qu’il le tiendrait au courant s’il obtenait ou non un emploi (procès-verbal d’audience du 17 juin 2019). Ces déclarations sont corroborées par celles de l’employeur, lequel a indiqué par téléphone à l’intimé le 7 décembre 2018 que le recourant avait démissionné pour un autre travail (cf. rapport d’entretien(s) sur motif de la rupture du contrat de travail de la caisse) et que le recourant avait résilié son contrat de travail car il avait trouvé un emploi fixe sur Neuchâtel (cf. attestation de gain intermédiaire du 7 novembre 2018). Au vu de ce qui précède, il est établi, au degré de la vraisemblance prépondérante, que le recourant a mis fin à son contrat de travail sur appel, par oral, le 23 octobre 2018, en signifiant à l’employeur qu’il partait à Neuchâtel pour signer un contrat de travail fixe ; par ailleurs, au moment de résilier son contrat, le recourant n’avait pas l’assurance de bénéficier d’un nouvel emploi, notamment dans le canton de Neuchâtel ; il ne le prétend d’ailleurs pas ; enfin, comme on l’a vu, l’activité de chauffeur pour l’employeur était exigible du recourant. En conséquence, c’est à juste titre que l’intimée a considéré que le recourant, en résiliant son contrat de travail, avait commis une faute justifiant le prononcé d’une sanction. S’agissant de la quotité de la sanction, il convient cependant de tenir compte du fait que le recourant, titulaire d’un livret B-CE, au bénéfice d’un contrat oral précaire, sur appel, depuis l’année 2015, marié et père d’une enfant, pouvait légitimement souhaiter améliorer sa situation de travail en recherchant un emploi fixe, en l’occurrence dans le canton de Neuchâtel, de sorte que cette circonstance atténue la gravité de sa faute, justifiant la réduction de la sanction à 20 jours de suspension de son droit à l’indemnité au lieu de 26,2 jours (à cet égard, arrêt du Tribunal fédéral précité C 258/03).</w:t>
      </w:r>
    </w:p>
    <w:p>
      <w:r>
        <w:rPr>
          <w:b/>
        </w:rPr>
        <w:t>E. 11</w:t>
      </w:r>
    </w:p>
    <w:p>
      <w:r>
        <w:t>Partant, le recours sera partiellement admis et la décision litigieuse réformée dans le sens que la sanction est réduite à 20 jours de suspension du droit à l’indemnité du recourant. Pour le surplus, la procédure est gratuite.</w:t>
      </w:r>
    </w:p>
    <w:p>
      <w:r>
        <w:t>A/691/2019 - 10/10 -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