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ATAS/616/2015 vom 24. August 2015</w:t>
      </w:r>
    </w:p>
    <w:p>
      <w:r>
        <w:t>GE Cour de justice, 2015-08-24, FR</w:t>
      </w:r>
    </w:p>
    <w:p>
      <w:r>
        <w:rPr>
          <w:b/>
        </w:rPr>
        <w:t xml:space="preserve">Quelle: </w:t>
      </w:r>
      <w:r>
        <w:t>https://mcp.opencaselaw.ch/entscheid/ge_gerichte_ATAS_616_2015</w:t>
      </w:r>
    </w:p>
    <w:p>
      <w:r>
        <w:t>FR: GE_GERICHTE ATAS/616/2015 du 24 août 2015</w:t>
      </w:r>
    </w:p>
    <w:p>
      <w:r>
        <w:t>IT: GE_GERICHTE ATAS/616/2015 del 24 agosto 2015</w:t>
      </w:r>
    </w:p>
    <w:p>
      <w:pPr>
        <w:pStyle w:val="Heading2"/>
      </w:pPr>
      <w:r>
        <w:t>Regeste</w:t>
      </w:r>
    </w:p>
    <w:p>
      <w:r>
        <w:t>Résumé: En cas d'importantes fluctuations des renseignements donnés par l'assuré quant à la possession d'un bien immobilier en Algérie, l'on ne saurait se fier à ses déclarations selon lesquelles il a vendu son immeuble avant de solliciter des prestations complémentaires et ne disposerait d'aucune pièce relative à cette vente. Lorsque l'assuré refuse de façon inexcusable de renseigner l'admnistration, il est impossible pour l'administration de démontrer les faits conduisant à une modification du droit aux prestations. Dans un tel cas, il convient d'admettre un renversement du fardeau de la preuve. Il appartient alors à l'assuré d'établir que les circonstances déterminantes n'ont pas subi de modifications susceptibles de modifier son droit aux prestations (arrêt du Tribunal fédéral9C_961/2008du 30 novembre 2009 consid. 6.3.2 et 6.3.3). Ces considérations sont également applicables en matière de prestations complémentaires. Le Tribunal fédéral a ainsi confirmé la suppression des prestations complémentaires à la suite d'un refus de collaborer d'un assuré (arrêt du Tribunal fédéral9C_194/2014du 21 octobre 2014 consid. 4.1 et 4.4). En l'occurence, s'il paraît possible que le transfert de certaines propriétés immobilières en Algérie ne soit soumis à aucune forme particulière et que l'assuré ne dispose dès lors pas d'actes notariés ou de titres officiels relatifs à l'acquisition et à l'éventuelle aliénation de la maison d'Oran, il n'est en revanche guère vraisemblable qu'il n'existe aucune pièce permettant d'établir sa valeur ou démontrant que le recourant l'aurait vendue. Par conséquent, le SPC a supprimé à juste titre le versement des prestations complémentaires.</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w:t>
      </w:r>
    </w:p>
    <w:p>
      <w:r>
        <w:t>A/294/2015 - 6/10 -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le droit aux prestations complémentaires dès le 1er décembre 2014, plus précisément sur le point de savoir si c’est à juste titre que l’intimé a supprimé les prestations en raison du défaut de collaboration du recourant.</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un dixième de la fortune nette pour les bénéficiaires de rentes de vieillesse, dans la mesure où elle dépasse 37 500 francs pour les personnes seules, 60 000 francs pour les couples (art. 11 al. 1 let. c LPC), et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Aux termes de l’art. 28 al. 2 LPGA, celui qui fait valoir son droit à des prestations doit fournir gratuitement tous les renseignements nécessaires pour établir ce droit et fixer les prestations dues.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t>A/294/2015 - 7/10 -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2ème éd. 2009, n. 51 ad art. 43).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w:t>
      </w:r>
    </w:p>
    <w:p>
      <w:r>
        <w:rPr>
          <w:b/>
        </w:rPr>
        <w:t>E. 7</w:t>
      </w:r>
    </w:p>
    <w:p>
      <w:r>
        <w:t>En matière de prestations complémentaires fédérales, la loi ne prévoit pas expressément la suppression des prestations en cours en cas de violation de l’obligation de renseigner. Selon la doctrine, si des prestations sont déjà en cours, l’administration apprécie librement les preuves en cas de violation de l’obligation de renseigner et peut décider en l’état du dossier. Elle peut en particulier tirer des conclusions du refus de collaborer (Erwin CARIGIET/Uwe KOCH, Ergänzungsleistungen zur AHV/IV, 2ème éd. 2009, p. 58). Dans un arrêt concernant la suppression d’une rente d’invalidité, le Tribunal fédéral a considéré qu’une évaluation en l’état du dossier, en application de l'art. 43 al. 3 LPGA, pourrait toutefois conduire à un résultat singulier dans le contexte particulier de la révision d'une prestation en cours. Lorsque l'assuré ne se conforme pas à son devoir de renseignement et que le dossier ne contient aucun élément permettant d’admettre que des circonstances déterminantes se seraient modifiées, l'absence d'informations aurait pour résultat que l'administration ne pourrait réduire ou supprimer la prestation. En d'autres termes, l'absence de collaboration de l'assuré n'entraînerait, dans le cadre particulier de la révision d'une prestation, aucune conséquence défavorable pour lui. Une telle solution n'est cependant pas admissible, dès lors qu'elle permettrait à un assuré d'éviter la réduction ou la suppression de la prestation en refusant toute collaboration avec l'administration, laquelle serait empêchée d'élucider les faits conduisant, le cas échéant, à la diminution ou à la suppression des prestations.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w:t>
      </w:r>
    </w:p>
    <w:p>
      <w:r>
        <w:t>A/294/2015 - 8/10 - d’assurance-invalidité administre les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(arrêt du Tribunal fédéral 9C_961/2008 du 30 novembre 2009 consid. 6.3.2 et 6.3.3). Ces considérations sont également applicables en matière de prestations complémentaires. Le Tribunal fédéral a ainsi confirmé la suppression des prestations complémentaires à la suite d’un refus de collaborer d’un assuré (arrêt du Tribunal fédéral 9C_194/2014 du 21 octobre 2014 consid. 4.1 et 4.4). Au plan cantonal, conformément à l’art. 11 al. 3 LPCC, le service peut suspendre ou supprimer le versement de la prestation lorsque le bénéficiaire refuse de fournir ou tarde à remettre les renseignements demandés.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w:t>
      </w:r>
    </w:p>
    <w:p>
      <w:r>
        <w:rPr>
          <w:b/>
        </w:rPr>
        <w:t>E. 9</w:t>
      </w:r>
    </w:p>
    <w:p>
      <w:r>
        <w:t>En l’espèce, le recourant affirme ne plus être propriétaire d’un bien immobilier en Algérie et ne disposer d’aucune pièce étayant ses affirmations. Or, on ne saurait admettre une violation de l’obligation de collaborer si le recourant n’a effectivement plus d’immeuble ou ne détient pas les pièces requises par l’intimé. Cependant, les renseignements donnés par le recourant à l’intimé ont connu d’importantes fluctuations. Celui-ci a d’abord affirmé que la maison en Algérie ne lui appartenait pas dans deux courriers de décembre 2014. Ce n’est que dans le cadre du recours qu’il a admis qu’il avait bien été propriétaire d’un bien immobilier, dont il s’était cependant séparé en 2010, avant de solliciter des prestations complémentaires. De plus, les allégations du recourant sur la propriété de ce bien immobilier durant sa procédure de divorce sont également contradictoires, puisqu’il a d’abord indiqué qu’il avait acheté une maison à Oran avant son mariage, et a ensuite affirmé qu’il en était copropriétaire avec des membres de sa famille. Compte tenu de ces variations, on ne saurait se fier aux déclarations du recourant selon lesquelles il a vendu son immeuble avant de solliciter des prestations complémentaires et ne disposerait d’aucune pièce.</w:t>
      </w:r>
    </w:p>
    <w:p>
      <w:r>
        <w:t>A/294/2015 - 9/10 - En outre, s’il paraît possible que le transfert de certaines propriétés immobilières en Algérie ne soit soumis à aucune forme particulière et que le recourant ne dispose dès lors pas d’actes notariés ou de titres officiels relatifs à l’acquisition et à l’éventuelle aliénation de la maison d’Oran, il n’est en revanche guère vraisemblable qu’il n’existe aucune pièce permettant d’établir sa valeur ou démontrant que le recourant l’aurait vendue. Le recourant avait d’ailleurs annoncé au Tribunal durant sa procédure de divorce qu’il avait sollicité une attestation d’une banque pour prouver l’achat de la maison, ce qui laisse penser qu’il existe des documents bancaires sur cette acquisition. Si cette attestation n’a par la suite jamais été fournie, le recourant n’a donné aucune explication sur son absence et n’a en particulier pas allégué que la banque était dans l’impossibilité d’établir ce document. De plus, le recourant affirme avoir cédé la maison en 2010. Or, il paraît invraisemblable qu’il ne détienne aucune pièce relative à cette vente. En effet, même en admettant que le prix convenu ait été de CHF 11'000.-, il s’agit là d’une somme conséquente. Il n’est ainsi guère concevable que son versement s’opère sans trace écrite. Au demeurant, dès lors que la propriété du bien ne peut selon les dires du recourant être démontrée par une inscription dans un registre officiel, il est d’autant moins plausible qu’aucun document ne soit établi pour prouver son transfert. Le recourant devrait quoi qu’il en soit à tout le moins être en mesure de produire un document bancaire démontrant qu’il a déposé ce montant sur son compte bancaire après l’avoir reçu. Enfin, dans le cadre de la liquidation du régime matrimonial du recourant, le Tribunal avait tenu compte d’une valeur de CHF 100'000.- pour la maison d’Oran, en vertu de l’art. 186 de l’ancienne loi sur la procédure civile, alors en vigueur, qui permettait au juge d’ordonner à la partie qui détient une pièce utile à la solution du litige de la produire même si le fardeau de la preuve ne lui incombait pas, et de tenir le fait allégué par la partie adverse pour avéré en cas de refus sans motif légitime. Eu égard à cette circonstance particulière, le recourant ne pouvait ignorer l’intérêt qu’il avait à disposer de pièces attestant du prix de vente du bien immobilier. Il est ainsi invraisemblable que le recourant n’ait pas saisi l’occasion de la vente de la maison pour établir un contrat de vente ou même une simple quittance, qui lui aurait éventuellement permis de démontrer sa valeur et cas échéant de tenter d’obtenir la révision du jugement de divorce. Eu égard à ce qui précède, c’est à juste titre que l’intimé a retenu une violation de l’obligation de collaborer du recourant. Partant, sa décision s’avère fondée. Comme l’intimé l’y a déjà rendu attentif, le recourant conserve toutefois la possibilité de déposer une nouvelle demande accompagnée de documents permettant d’établir la valeur du bien litigieux.</w:t>
      </w:r>
    </w:p>
    <w:p>
      <w:r>
        <w:rPr>
          <w:b/>
        </w:rPr>
        <w:t>E. 10</w:t>
      </w:r>
    </w:p>
    <w:p>
      <w:r>
        <w:t>Le recours est rejeté. Le recourant, qui succombe, n’a pas droit à des dépens (art. 61 let. g LPGA). Pour le surplus, la procédure est gratuite (art. 61 let. a LPGA).</w:t>
      </w:r>
    </w:p>
    <w:p>
      <w:r>
        <w:t>A/294/2015 - 10/10 -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