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ATAS/616/2009 vom 20. Mai 2009</w:t>
      </w:r>
    </w:p>
    <w:p>
      <w:r>
        <w:t>GE Cour de justice, 2009-05-20, FR</w:t>
      </w:r>
    </w:p>
    <w:p>
      <w:r>
        <w:rPr>
          <w:b/>
        </w:rPr>
        <w:t xml:space="preserve">Quelle: </w:t>
      </w:r>
      <w:r>
        <w:t>https://mcp.opencaselaw.ch/entscheid/ge_gerichte_ATAS_616_2009</w:t>
      </w:r>
    </w:p>
    <w:p>
      <w:r>
        <w:t>FR: GE_GERICHTE ATAS/616/2009 du 20 mai 2009</w:t>
      </w:r>
    </w:p>
    <w:p>
      <w:r>
        <w:t>IT: GE_GERICHTE ATAS/616/2009 del 20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s’applique au cas d’espèce.</w:t>
      </w:r>
    </w:p>
    <w:p>
      <w:r>
        <w:rPr>
          <w:b/>
        </w:rPr>
        <w:t>E. 3</w:t>
      </w:r>
    </w:p>
    <w:p>
      <w:r>
        <w:t>Déposé dans les forme et délai prévus par la loi, le présent recours est recevable (art. 56 à 60 LPGA).</w:t>
      </w:r>
    </w:p>
    <w:p>
      <w:r>
        <w:rPr>
          <w:b/>
        </w:rPr>
        <w:t>E. 4</w:t>
      </w:r>
    </w:p>
    <w:p>
      <w:r>
        <w:t>Le litige porte sur le degré d'invalidité de la recourante et, dans ce cadre, sur la méthode d'évaluation de l'invalidité à prendre en compte (ménagère mixte ou active).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w:t>
      </w:r>
    </w:p>
    <w:p>
      <w:r>
        <w:t>A/2096/2008 - 10/16 -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Depuis le 1er janvier 2004, l’assuré a droit à une rente entière s’il est invalide à 70 % au moins, à un trois-quarts de rente s'il est invalide à 60 % au moins, à une demi-rente s’il est invalide à 50 % au moins, ou à un quart de rente s’il est invalide à 40 % au moins. Enfin,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seuil minimum fixé par la jurisprudence pour ouvrir droit à une mesure de reclassement est une diminution de la capacité de gain de 20 % environ (ATF 124 V 110 consid. 2b et les références).</w:t>
      </w:r>
    </w:p>
    <w:p>
      <w:r>
        <w:rPr>
          <w:b/>
        </w:rPr>
        <w:t>E. 6</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S'agissant du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t>A/2096/2008 - 11/16 - b) L'invalidité d'un assuré qui n'exerce que partiellement une activité lucrative est, pour cette part, évaluée selon la méthode ordinaire de comparaison des revenus ou selon la méthode extraordinaire d'évaluation. S'il se consacre en outre à ses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(jusqu'au 31 décembre 2002: art. 28 al. 3 LAI en corrélation avec l'art. 27bis al. 1 et 2 RAI; du 1er janvier au 31 décembre 2003: art. 28 al. 3 LAI en corrélation avec les art. 27bis al. 1 et 2 RAI et</w:t>
      </w:r>
    </w:p>
    <w:p>
      <w:r>
        <w:rPr>
          <w:b/>
        </w:rPr>
        <w:t>E. 8</w:t>
      </w:r>
    </w:p>
    <w:p>
      <w:r>
        <w:t>S'agissant du statut de la recourante, on rappellera que pour déterminer la part de l’activité lucrative par rapport à celle consacrée aux travaux ménagers, il convient d’examiner ce qu'elle ferait dans les mêmes circonstances si elle n’était pas atteinte dans sa santé.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l’assurée aurait exercé une activité lucrative si elle avait été en bonne santé, il faille que la force probatoire reconnue habituellement en droit des assurances sociales atteigne le degré de la vraisemblance prépondérante (ATF 125 V 146 consid. 2c). En l'espèce, le Tribunal de céans relève que la recourante a été femme au foyer entre 1995 et 2003. Dans ses différentes offres d'emploi spontanées datant de juillet 2003, elle indique être disposée à travailler, soit à temps plein, soit à temps partiel. Dans le questionnaire servant à déterminer le statut de l'assuré de juin 2005, la recourante a déclaré ne pas savoir à quel taux d'activité elle voulait travailler. Enfin, il ressort de l'enquête ménagère effectuée en mars 2008 qu'elle aurait travaillé à 80% sans invalidité. Il est donc vraisemblable, à la lumière de ces trois indices, que la recourante aurait travaillé à 80%, sans invalidité. En effet,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 il pas, en droit des assurances sociales, un principe selon lequel l’administration ou le juge devrait statuer, dans le doute, en faveur de l’assuré (ATF 126 V 322 consid. 5a). Par conséquent le statut mixte, 80% - 20%, retenu par l'OCAI doit être confirmé. Certes, lors de l'audience de novembre 2008, la recourante a déclaré qu'en travaillant à 80%, elle ne pourrait pas vivre; toutefois, selon le Tribunal Fédéral, il</w:t>
      </w:r>
    </w:p>
    <w:p>
      <w:r>
        <w:t>A/2096/2008 - 13/16 -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9</w:t>
      </w:r>
    </w:p>
    <w:p>
      <w:r>
        <w:t>Sur le plan médical, tant le Dr A___________ que la Dresse B___________ dans son rapport détaillé du 30 janvier 2008 concluent, au vu de la pathologie psychiatrique que présente la recourante, à une incapacité de travail de 50 % dans toute activité professionnelle, depuis août 2003. Il n'y a aucun motif de remettre en cause cette appréciation concordante. Vu le statut mixte de la recourante, 80% - 20%, et le taux d'incapacité de travail retenu dans toute profession, soit 50%, le taux d'invalidité de la recourante s'établit comme suit :</w:t>
      </w:r>
    </w:p>
    <w:p>
      <w:r>
        <w:t>Activité partielle Part Empêchement Degré d'invalidité Activité lucrative 80% 50% 40% Activité ménagère 20% 27.5% 5.5%</w:t>
      </w:r>
    </w:p>
    <w:p>
      <w:r>
        <w:t>Force est de constater que le degré d'invalidité global est de 45.5% et non de 35,5 % comme retenu à tort par l'OCAI, ce dernier ayant commis une erreur de calcul. Au demeurant, en appliquant la formule consacrée pour l'évaluation de l'invalidité chez les personnes présentant un statut mixte (E x IE + ([EZ-E)] x H /EZ), le degré d'invalidité est le suivant (cf. chiffre 3110 de la Circulaire concernant l'invalidité et l'impotence de l'assurance-invalidité - CIIAI) : (34h x 50% + ([42h - 34h] x 27.5% /42 h = 1920/42 = 45.71 % ce qui ouvre droit à un quart de rente d'invalidité dès le 1er août 2004 ( art. 28 al. 1 et 29 al. 1 LAI). Le recours sera en conséquence partiellement admis sur ce point.</w:t>
      </w:r>
    </w:p>
    <w:p>
      <w:r>
        <w:rPr>
          <w:b/>
        </w:rPr>
        <w:t>E. 10</w:t>
      </w:r>
    </w:p>
    <w:p>
      <w:r>
        <w:t>Avant la notification de la décision, la recourante a signalé à l'intimé que son état de santé s'était aggravé ces derniers temps. Le Dr A___________ a attesté dans un</w:t>
      </w:r>
    </w:p>
    <w:p>
      <w:r>
        <w:t>A/2096/2008 - 14/16 - rapport du 22 mai 2008 qu'elle était en incapacité de travail totale depuis le 1er avril 2008, en raison d'un état dépressif sévère.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 l'occurrence, bien que la recourante l'ait informé de l'aggravation de son état de santé, l'intimé n'a pas instruit ce point avant de statuer. Il incombera en conséquence à l'OCAI d'effectuer une instruction complémentaire afin de clarifier la situation médicale, ce que l'intimé a d'ailleurs reconnu, et de rendre une nouvelle décision.</w:t>
      </w:r>
    </w:p>
    <w:p>
      <w:r>
        <w:rPr>
          <w:b/>
        </w:rPr>
        <w:t>E. 11</w:t>
      </w:r>
    </w:p>
    <w:p>
      <w:r>
        <w:t>Pour ce motif également, la décision litigieuse doit être annulée et le dossier renvoyé à l'OCAI pour instruction complémentaire et nouvelle décision.</w:t>
      </w:r>
    </w:p>
    <w:p>
      <w:r>
        <w:rPr>
          <w:b/>
        </w:rPr>
        <w:t>E. 12</w:t>
      </w:r>
    </w:p>
    <w:p>
      <w:r>
        <w:t>La recourante, qui obtient partiellement gain de cause, a droit à une indemnité à titre de participation à ses frais et dépens, que le Tribunal fixe en l'espèce à 2'000 fr. (art. 61 let. g LPGA).</w:t>
      </w:r>
    </w:p>
    <w:p>
      <w:r>
        <w:rPr>
          <w:b/>
        </w:rPr>
        <w:t>E. 13</w:t>
      </w:r>
    </w:p>
    <w:p>
      <w:r>
        <w:t>La loi fédérale du 16 décembre 2005 modifiant la loi fédérale sur l'assurance- invalidité,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est mis à la charge de l'OCAI, qui succombe.</w:t>
      </w:r>
    </w:p>
    <w:p>
      <w:r>
        <w:t>A/2096/2008 - 15/16 -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