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ATAS/615/2024 vom 8. August 2024</w:t>
      </w:r>
    </w:p>
    <w:p>
      <w:r>
        <w:t>GE Cour de justice, 2024-08-08, FR</w:t>
      </w:r>
    </w:p>
    <w:p>
      <w:r>
        <w:rPr>
          <w:b/>
        </w:rPr>
        <w:t xml:space="preserve">Quelle: </w:t>
      </w:r>
      <w:r>
        <w:t>https://mcp.opencaselaw.ch/entscheid/ge_gerichte_ATAS_615_2024</w:t>
      </w:r>
    </w:p>
    <w:p>
      <w:r>
        <w:t>FR: GE_GERICHTE ATAS/615/2024 du 8 août 2024</w:t>
      </w:r>
    </w:p>
    <w:p>
      <w:r>
        <w:t>IT: GE_GERICHTE ATAS/615/2024 del 8 agosto 2024</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2</w:t>
      </w:r>
    </w:p>
    <w:p>
      <w:r>
        <w:t>Le recours, déposé dans les forme et délai prévus par la loi, est recevable.</w:t>
      </w:r>
    </w:p>
    <w:p>
      <w:r>
        <w:rPr>
          <w:b/>
        </w:rPr>
        <w:t>E. 3</w:t>
      </w:r>
    </w:p>
    <w:p>
      <w:r>
        <w:t>Le litige porte sur la question du caractère temporaire ou non du séjour en foyer du fils cadet de la recourante, celle-ci ne contestant plus que son fils aîné a quitté définitivement le domicile familial.</w:t>
      </w:r>
    </w:p>
    <w:p>
      <w:r>
        <w:rPr>
          <w:b/>
        </w:rPr>
        <w:t>E. 4</w:t>
      </w:r>
    </w:p>
    <w:p>
      <w:r>
        <w:t>En vertu de l’art. 53 al. 3 de la loi fédérale sur la partie générale du droit des assurances sociales (LPGA), l’assureur peut reconsidérer une décision sur opposition contre laquelle un recours est formé jusqu’à l’envoi de son préavis. C’est ce qu’a fait l’intimé en l’espèce, en proposant de modifier partiellement la décision litigieuse, sans toutefois statuer formellement. Il convient donc, comme il le suggère, de renvoyer la cause à l’intimé afin qu’il reprenne le calcul des prestations en considérant que le séjour du fils cadet de la recourante en foyer peut être qualifié de temporaire et qu’il rende ensuite une nouvelle décision.</w:t>
      </w:r>
    </w:p>
    <w:p>
      <w:r>
        <w:t>***</w:t>
      </w:r>
    </w:p>
    <w:p>
      <w:r>
        <w:t>A/1845/2024 - 4/4 -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