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ATAS/615/2016 vom 10. August 2016</w:t>
      </w:r>
    </w:p>
    <w:p>
      <w:r>
        <w:t>GE Cour de justice, 2016-08-10, FR</w:t>
      </w:r>
    </w:p>
    <w:p>
      <w:r>
        <w:rPr>
          <w:b/>
        </w:rPr>
        <w:t xml:space="preserve">Quelle: </w:t>
      </w:r>
      <w:r>
        <w:t>https://mcp.opencaselaw.ch/entscheid/ge_gerichte_ATAS_615_2016</w:t>
      </w:r>
    </w:p>
    <w:p>
      <w:r>
        <w:t>FR: GE_GERICHTE ATAS/615/2016 du 10 août 2016</w:t>
      </w:r>
    </w:p>
    <w:p>
      <w:r>
        <w:t>IT: GE_GERICHTE ATAS/615/2016 del 10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- 3/5-</w:t>
      </w:r>
    </w:p>
    <w:p>
      <w:r>
        <w:t>A/2075/2016</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w:t>
      </w:r>
    </w:p>
    <w:p>
      <w:r>
        <w:t>- 4/5-</w:t>
      </w:r>
    </w:p>
    <w:p>
      <w:r>
        <w:t>A/2075/2016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4</w:t>
      </w:r>
    </w:p>
    <w:p>
      <w:r>
        <w:t>En l'occurrence, il n'est pas contesté que le recours a été interjeté après le délai de trente jours dès sa réception le 25 avril 2016 (cf. suivi des envois de la poste).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 été empêchée sans sa faute d’agir dans le délai fixé, son calcul des trente jours de délai de recours étant erroné et son explication à ce sujet pas pertinente. La recourante n’apporte aucune preuve de ses allégués et, à supposer qu’elle fait allusion au service juridique de l’intimé, un renseignement totalement erroné de ce dernier quant à la computation des délais n’apparaît pas vraisemblable. En l'absence de motif valable de restitution de délai, le recours doit être déclaré irrecevable pour cause de tardiveté.</w:t>
      </w:r>
    </w:p>
    <w:p>
      <w:r>
        <w:t>- 5/5-</w:t>
      </w:r>
    </w:p>
    <w:p>
      <w:r>
        <w:t>A/2075/2016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