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ATAS/615/2015 vom 24. August 2015</w:t>
      </w:r>
    </w:p>
    <w:p>
      <w:r>
        <w:t>GE Cour de justice, 2015-08-24, FR</w:t>
      </w:r>
    </w:p>
    <w:p>
      <w:r>
        <w:rPr>
          <w:b/>
        </w:rPr>
        <w:t xml:space="preserve">Quelle: </w:t>
      </w:r>
      <w:r>
        <w:t>https://mcp.opencaselaw.ch/entscheid/ge_gerichte_ATAS_615_2015</w:t>
      </w:r>
    </w:p>
    <w:p>
      <w:r>
        <w:t>FR: GE_GERICHTE ATAS/615/2015 du 24 août 2015</w:t>
      </w:r>
    </w:p>
    <w:p>
      <w:r>
        <w:t>IT: GE_GERICHTE ATAS/615/2015 del 24 agosto 2015</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t>A/3964/2013 - 12/23 -</w:t>
      </w:r>
    </w:p>
    <w:p>
      <w:r>
        <w:rPr>
          <w:b/>
        </w:rPr>
        <w:t>E. 4</w:t>
      </w:r>
    </w:p>
    <w:p>
      <w:r>
        <w:t>L’objet du litige porte sur le droit du recourant à une rente entière d’invalidité, singulièrement sur l’appréciation de la capacité de travail dès le 25 août 2010.</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7</w:t>
      </w:r>
    </w:p>
    <w:p>
      <w:r>
        <w:t>a) Pour pouvoir calculer le degré d’invalidité, l’administration (ou le juge, s’il y a eu un recours) a besoin de documents qu’un médecin, éventuellement d’autres</w:t>
      </w:r>
    </w:p>
    <w:p>
      <w:r>
        <w:t>A/3964/2013 - 13/23 -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A/3964/2013 - 14/23 -</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w:t>
      </w:r>
    </w:p>
    <w:p>
      <w:r>
        <w:t>A/3964/2013 - 15/23 -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w:t>
      </w:r>
    </w:p>
    <w:p>
      <w:r>
        <w:t>A/3964/2013 - 16/23 -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w:t>
      </w:r>
    </w:p>
    <w:p>
      <w:r>
        <w:t>A/3964/2013 - 17/23 -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w:t>
      </w:r>
    </w:p>
    <w:p>
      <w:r>
        <w:t>A/3964/2013 - 18/23 -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t>A/3964/2013 - 19/23 -</w:t>
      </w:r>
    </w:p>
    <w:p>
      <w:r>
        <w:rPr>
          <w:b/>
        </w:rPr>
        <w:t>E. 11</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w:t>
      </w:r>
    </w:p>
    <w:p>
      <w:r>
        <w:t>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rPr>
          <w:b/>
        </w:rPr>
        <w:t>E. 12</w:t>
      </w:r>
    </w:p>
    <w:p>
      <w:r>
        <w:t>En l'espèce, par ordonnance du 27 octobre 2014, la chambre de céans a confié au Dr S______ une expertise judiciaire; elle a considéré que l’expertise du Dr Q______ sur laquelle se fondait l’intimé pour reconnaître au recourant une capacité de travail nulle dès le 14 mars 2008 et de 50% dès le 25 août 2010 dans une activité adaptée, avait été rendue dans le cadre de la LAA et était principalement centrée sur la question de la causalité naturelle du trouble du recourant avec l’accident du 16 août 2006 ; par ailleurs, les médecins-traitants du recourant avaient estimé, s’agissant du Dr H______, que la capacité de travail de 50% n’était pas motivée par le Dr Q______ par une amélioration de l’état de santé du recourant et, s’agissant du</w:t>
      </w:r>
    </w:p>
    <w:p>
      <w:r>
        <w:t>A/3964/2013 - 20/23 - Dr O______, que le recourant avait présenté une incapacité de travail totale en 2012 au moins, de sorte qu'on se trouvait en présence d'avis médicaux contradictoires.</w:t>
      </w:r>
    </w:p>
    <w:p>
      <w:r>
        <w:rPr>
          <w:b/>
        </w:rPr>
        <w:t>E. 13</w:t>
      </w:r>
    </w:p>
    <w:p>
      <w:r>
        <w:t>La chambre de céans constate que l'expertise judiciaire du Dr S______ remplit les critères jurisprudentiels précités pour qu'il lui soit reconnu une pleine valeur probante. Le rapport se fonde sur un examen clinique, une électroneuromyographie complémentaire et un entretien avec le Dr H______. Il résume toutes les pièces médicales pertinentes, prend en compte les plaintes du recourant, les examens radiologiques, pose des diagnostics clairs et bien motivés. Il conclut à une incapacité de travail totale du recourant du 15 mars au 14 juin 2008 et de 50% dans une activité adaptée depuis le 15 juin 2008, avec une nouvelle incapacité de travail totale en 2009. L'incapacité de travail était ensuite en moyenne de 50% dans une activité adaptée. L'expert a confirmé l'incapacité de travail de 50% dans toute activité, retenue par l'intimé depuis août 2010. L’intimé se rallie aux conclusions de l’expertise judiciaire, tout en confirmant l’appréciation faite par le SMR d’une capacité de travail de 50 % exigible depuis le 25 août 2010 dans une activité adaptée et non pas depuis le 15 juin 2008. Quant au recourant, il estime que l’expert aurait dû se prononcer sur la question de l’existence d’une diminution de rendement dans le cadre de l’exercice d’une activité à 50 % et constate que ses chances de réinsertion sont nulles. A cet égard, l’expert s’est prononcé précisément sur la capacité de travail du recourant en relevant qu’elle était de 50 % dans une activité allégée, laissant une mobilité constante (expertise p. 15-16), sans mentionner une diminution de rendement. Or, la question de l’évaluation de la capacité de travail englobe naturellement celle d’une diminution de rendement et il n’y a pas lieu d’ordonner un complément d’expertise sur ce point, dès lors que l’expert s’est prononcé clairement sur l’ampleur de la capacité de travail du recourant. Au vu de ce qui précède, la conclusion de l’intimé quant à la capacité de travail de 50 % du recourant, depuis le 25 août 2010, dans une activité adaptée ne peut qu’être confirmée. Cette conclusion n’est en particulier pas remise en question par l’avis de l’expert lorsqu’il indique que les chances de reprise de travail sont nulles dès lors qu’il prend en compte des critères tels que l’âge du recourant et la perte de motivation de celui-ci; par ailleurs la chronicisation de douleurs et le manque de mobilité ainsi que la progression des troubles dégénératifs ont été pris en compte dans les limitations fonctionnelles (expertise p. 15).</w:t>
      </w:r>
    </w:p>
    <w:p>
      <w:r>
        <w:rPr>
          <w:b/>
        </w:rPr>
        <w:t>E. 14</w:t>
      </w:r>
    </w:p>
    <w:p>
      <w:r>
        <w:t>a) S’agissant du calcul du degré d’invalidité, l’intimé s’est fondé sur un revenu sans invalidité de CHF 72'003.- et un revenu d'invalide de CHF 25'995.-. Le revenu d'invalide a été calculé selon l'ESS 2010, tableau TA1, pour un homme dans une activité de niveau 4, pour un horaire hebdomadaire en 2010 de 41,6</w:t>
      </w:r>
    </w:p>
    <w:p>
      <w:r>
        <w:t>A/3964/2013 - 21/23 - heures, à 50%, avec un abattement de 15%, lequel tient compte d'une activité légère seule possible, de l'âge de l'assuré (53 ans en 2010) et du taux d'occupation. Le recourant estime qu'il a droit à un abattement supérieur à 15%, au motif qu'il était âgé de 55 ans en 2013, qu'il n'avait plus travaillé depuis 5 ans et qu'il ne bénéficiait d'aucune formation. A cet égard, l'appréciation faite par l'intimé, laquelle tient compte de tous les critères pertinents (cf. consid. 10 supra) dans le cas du recourant, ne peut qu'être confirmée; en particulier, les griefs soulevés par le recourant ne sauraient être pris en compte au titre de facteurs justifiant un abattement supplémentaire ( à cet égard arrêt du Tribunal fédéral du 6 mai 2015 9C 637/2014). Le revenu d'invalide de CHF 25'995.- peut ainsi être confirmé. b) S'agissant du revenu sans invalidité, il ressort des déclarations du recourant que son médecin, le Dr P______, lui avait conseillé d'arrêter le travail de concierge fin 2007, qu'il jugeait non adapté à son état de santé, notamment pour sa nuque. Or, selon l'expert, la capacité de travail, qui était totale pour des travaux allégés au sein de l'entreprise B______, et vraisemblablement aussi pour une activité de concierge entre le 19 mars et le 19 décembre 2007, a ensuite été nulle dès cette date. Le recourant a résilié son contrat de travail peu avant, soit pour fin novembre 2007, en estimant qu'il n'était plus capable d'assumer cette activité, ce qui rejoint les constatations de l'expert judiciaire dès le mois de décembre 2007. En conséquence, la question se pose de savoir si c'est à juste titre que l'intimé a refusé de prendre en compte le salaire de concierge au titre de revenu sans invalidité, au motif que l'incapacité de travail durable aurait débuté seulement en mars 2008. Il conviendrait plutôt de considérer que, sans atteinte à la santé, le recourant aurait continué d'assumer l'activité de concierge, ce d'autant qu'il était engagé depuis le 1er décembre 2002, soit depuis cinq années (cf. questionnaire pour l'employeur du 24 juillet 2008). La régie D______ et Renaud a d'ailleurs confirmé la résiliation du rapport de travail par le recourant pour le 30 novembre 2007. Cette question peut cependant rester ouverte, car elle n'a pas d'incidence sur le calcul du droit du recourant à une rente d'invalidité. En effet, le recourant réalisait un salaire mensuel de CHF 758.30 depuis 2002. La régie D______ a précisé, le 12 septembre 2014, que le recourant aurait reçu en 2010 un 13ème salaire correspondant à 3,34% de son salaire annuel. Ainsi, pour l'année 2010, le recourant aurait reçu CHF 758.30 x 12 = CHF 9'099.60 + CHF 303.92, soit un total de CHF 9'403.52. Il n'y a pas lieu d'indexer le salaire 2007 à l'année 2010, dès lors que le recourant a reçu un même salaire depuis l'année 2002, sans augmentation, de sorte qu'une indexation entre l'année2007 et 2010 n'apparaît pas vraisemblable. En tout état de cause, cette indexation n'est pas déterminante non plus sur le calcul du droit du recourant à une rente d'invalidité. Compte tenu du salaire reçu de la régie D______, le revenu sans invalidité est ainsi de CHF 72'003 + CHF 9'403.50 = CHF 81'406.50.</w:t>
      </w:r>
    </w:p>
    <w:p>
      <w:r>
        <w:t>A/3964/2013 - 22/23 - Le calcul du taux d'invalidité est le suivant :</w:t>
      </w:r>
    </w:p>
    <w:p>
      <w:r>
        <w:t>CHF 81'406.50 – CHF 25'995 = 68%</w:t>
      </w:r>
    </w:p>
    <w:p>
      <w:r>
        <w:t>CHF 81'406.50 Ce taux donne droit à un trois-quarts de rente d'invalidité.</w:t>
      </w:r>
    </w:p>
    <w:p>
      <w:r>
        <w:rPr>
          <w:b/>
        </w:rPr>
        <w:t>E. 15</w:t>
      </w:r>
    </w:p>
    <w:p>
      <w:r>
        <w:t>Partant, le recours ne peut qu'être rejeté.</w:t>
      </w:r>
    </w:p>
    <w:p>
      <w:r>
        <w:t>A/3964/2013 - 23/23 -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