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ATAS/615/2008 vom 28. Mai 2008</w:t>
      </w:r>
    </w:p>
    <w:p>
      <w:r>
        <w:t>GE Cour de justice, 2008-05-28, FR</w:t>
      </w:r>
    </w:p>
    <w:p>
      <w:r>
        <w:rPr>
          <w:b/>
        </w:rPr>
        <w:t xml:space="preserve">Quelle: </w:t>
      </w:r>
      <w:r>
        <w:t>https://mcp.opencaselaw.ch/entscheid/ge_gerichte_ATAS_615_2008</w:t>
      </w:r>
    </w:p>
    <w:p>
      <w:r>
        <w:t>FR: GE_GERICHTE ATAS/615/2008 du 28 mai 2008</w:t>
      </w:r>
    </w:p>
    <w:p>
      <w:r>
        <w:t>IT: GE_GERICHTE ATAS/615/2008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w:t>
      </w:r>
    </w:p>
    <w:p>
      <w:r>
        <w:t>A/4503/2006 - 7/16 - 335 consid. 1.2; ATF 129 V 4 consid. 1.2; ATF 127 V 467 consid. 1, 126 V 136 consid. 4b et les références). Aussi le droit litigieux doit-il être examiné à l'aune des dispositions de la LAI en vigueur jusqu'au 31 décembre 2002, pour la période courant jusqu'à cette date, puis à celle de la nouvelle réglementation pour la période postérieure. Les dispositions de la novelle du 21 mars 2003 modifiant la LAI (4ème révision), entrées en vigueur le 1er janvier 2004 (RO 2003 3852), sont régies par le même principe. Les règles de procédure quant à elles s'appliquent sans réserve dès le jour de son entrée en vigueur (ATF 117 V 93 consid. 6b, 112 V 360 consid. 4a; RAMA 1998 KV 37 p. 316 consid. 3b).</w:t>
      </w:r>
    </w:p>
    <w:p>
      <w:r>
        <w:rPr>
          <w:b/>
        </w:rPr>
        <w:t>E. 3</w:t>
      </w:r>
    </w:p>
    <w:p>
      <w:r>
        <w:t>Interjeté dans les forme et délais prescrits par la loi, le recours est recevable (art. 56 et 60 LPGA).</w:t>
      </w:r>
    </w:p>
    <w:p>
      <w:r>
        <w:rPr>
          <w:b/>
        </w:rPr>
        <w:t>E. 4</w:t>
      </w:r>
    </w:p>
    <w:p>
      <w:r>
        <w:t>Le litige consiste à déterminer si le recourant présente une atteinte à la santé donnant droit à des prestations de l’assurance-invalidité, plus particulièrement quel est son degré d’invalidité.</w:t>
      </w:r>
    </w:p>
    <w:p>
      <w:r>
        <w:rPr>
          <w:b/>
        </w:rPr>
        <w:t>E. 5</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w:t>
      </w:r>
    </w:p>
    <w:p>
      <w:r>
        <w:t>A/4503/2006 - 8/16 -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du</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Lorsque le litige concerne plus particulièrement des mesures d'ordre professionnel, le médecin indiquera, en outre, si l'état de santé de l'assuré permet le reclassement ou la formation dans une nouvelle profession et, dans l'affirmative,</w:t>
      </w:r>
    </w:p>
    <w:p>
      <w:r>
        <w:t>A/4503/2006 - 11/16 - quelles sont les activités adaptées au handicap de l'intéressé du point de vue médical.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Selon le dossier médical, le recourant souffre de cervico-dorso-lombalgies ainsi que d’un trouble somatoforme douloureux depuis 2003. Sur le plan somatique, selon l'estimation des Drs B_________, F_________ et du SMR, le recourant ne peut plus exercer son ancien métier de mécanicien, physiquement trop lourd. Dans une activité adaptée épargnant le dos et ne nécessitant pas le port de charges, la capacité de travail est de 50 % selon le Dr B_________, de 100 % selon le Dr D_________ du COMAI de Genolier, avis auquel le SRM s'est rallié. Du point de vue psychique, la consultation psychiatrique effectuée par le Dr K_________ du COMAI de Genolier a mis en évidence une thymie dépressive, avec quelques propos suicidaires. L'expression émotionnelle reste totalement figée durant tout l'entretien, le discours est peu précis, mais le médecin n'a pas relevé de d'élément de la lignée psychotique. Dans ses plaintes, le patient a déclaré qu'il avait l'impression que les gens lui en veulent, sauf ses bons amis, et que son ex-femme était sous l'influence de gens qui pratiquaient la sorcellerie et qui ont voulu le tuer. Le COMAI a retenu le diagnostic de trouble somatoforme douloureux associé à un état dépressif d'intensité mineure à moyenne et une petite perte d'insertion sociale qui en soi ne justifie pas une incapacité de travail. Cependant, le patient est dans une situation de démotivation, fixé dans un processus d'invalidation, de sorte qu'il devrait dans un premier temps bénéficier d'un traitement de type hôpital de jour ou atelier d'ergothérapie dans un but d'activation, puis être remis dans le circuit</w:t>
      </w:r>
    </w:p>
    <w:p>
      <w:r>
        <w:t>A/4503/2006 - 12/16 - professionnel. Questionné par le Tribunal de céans dans le cadre du litige opposant le recourant à l'assureur perte de gain maladie (cause A/4337/2005), le Dr K_________ a répondu, s'agissant des éléments d'anamnèse (idées suicidaires, sentiment de persécution par sorcellerie, etc.), qu'ils pouvaient être tout-a-fait banals, mais aussi signes de délire. Le contexte global, le milieu socio-culturel et la manière de raconter l'évènement avait fait pencher les experts pour la première alternative. Enfin, les idées suicidaires n'impliquaient pas de facto un état dépressif important. Dans le cadre de la procédure précitée, le Tribunal de céans a jugé cependant nécessaire d'ordonner une expertise judiciaire qu'il a confiée au Dr H_________, spécialiste FMH en psychiatrie et psychothérapie. L'expert a conclu que le recourant souffre de troubles psychiques, soit d’un trouble délirant (F 22.0), d’un syndrome douloureux somatoforme persistant (F 45.4) et d'une dysthymie (F 34.1). L'expert a expliqué que les diagnostics ont été posés au regard de la CIM-10. S'agissant du syndrome dépressif, qui peut être qualifié de moyen, il est chronique, puisqu'il remonte à 2003 au moins et le diagnostic CIM-10 qui correspond probablement le mieux à une dépression modérée et chronique, comprenant également quelques manifestations anxieuses, est celui de dysthymie. L'expert relève que l'examen révèle surtout, derrière les plaintes douloureuses, la présence d'un véritable syndrome délirant, basé sur des idées de persécution à mécanisme interprétatif, avec peut-être occasionnellement des phénomènes psycho-sensoriels. Le Dr H_________ expose que le trouble délirant lui a paru authentique et que si l'assuré simulait un tel trouble, on attendrait qu'il manifeste bruyamment ses symptômes au lieu de se montrer discret à leur sujet, et ne les révéler qu'au compte- gouttes et sur demande. Ce trouble délirant constitue une comorbidité psychiatrique durable et sévère, car il altère gravement les relations sociales, de manière généralement progressive, souvent jusqu'au point où le sujet est complètement isolé, voire clochardisé, car il ne fait plus confiance à personne et se dispute avec tout le monde. L'assuré n'en est pas encore là, mais il est certain que sa capacité de supporter des contacts sociaux, y compris dans le cadre d'une activité professionnelle, est limitée. Le pronostic est mauvais. Selon l'expert, la capacité de travail exigible ne dépasse pas 50 %, dans n'importe quelle activité, depuis février 2003. Le Tribunal de céans constate que le rapport d'expertise du Dr H_________ remplit toutes les exigences requises par la jurisprudence pour se voir attribuer pleine valeur probante. L'expert a eu connaissance de l'entier du dossier du recourant, il a procédé à un examen clinique lors de deux consultations, il a pris en compte les plaintes de l'assuré et a posé des diagnostics au regard de la CIM-10. Il a expliqué de façon circonstanciée pour quelles raisons il a considéré que le trouble délirant présenté par le recourant doit être considéré comme durable et grave, de façon à entraver la capacité de travail. Ses conclusions sont à cet égard claires et convaincantes.</w:t>
      </w:r>
    </w:p>
    <w:p>
      <w:r>
        <w:t>A/4503/2006 - 13/16 - Les critiques du SMR quant à la valeur probante du rapport d'expertise ne sont pas pertinentes, dans la mesure où elles ne démontrent pas en quoi les constatations de l'expert seraient manifestement inexactes. Le fait que l'expert judiciaire ait retenu un autre diagnostic que celui émis par le Dr K_________ du COMAI, ne constitue pas en soi un motif pour nier la force probante de ses conclusions ou pour qualifier celles-ci d'incohérentes ou contradictoires, notamment en ce qui concerne le diagnostic de trouble délirant. En réalité, le SMR entend poser son propre diagnostic sur la base du dossier et tend à substituer sa propre appréciation des preuves à celle du Tribunal de céans. Au vu de ce qui précède, le Tribunal de céans n'a aucune raison de s'écarter des conclusions de l'expert et il y a lieu de retenir que le recourant présente une incapacité de travail de 50 % dans une activité adaptée, aussi bien pour des raisons psychiatriques que somatiques, depuis février 2003.</w:t>
      </w:r>
    </w:p>
    <w:p>
      <w:r>
        <w:rPr>
          <w:b/>
        </w:rPr>
        <w:t>E. 10</w:t>
      </w:r>
    </w:p>
    <w:p>
      <w:r>
        <w:t>Reste à déterminer quel est le degré d’invalidité du recourant.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w:t>
      </w:r>
    </w:p>
    <w:p>
      <w:r>
        <w:t>A/4503/2006 - 14/16 -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l'occurrence, il convient de se placer en 2004 pour procéder à la comparaison des revenus, dès lors que l'incapacité de travail remonte à février 2003. Selon les renseignements communiqués par l'employeur, le recourant réalisait en en 2003 un revenu mensuel de 4'800, plus un treizième salaire, soit un revenu annuel de 62'400 fr.. Réactualisé à 2004 (indice 2095), le revenu sans invalidité s'élève à 62'971 fr. Le recourant n’exerçant plus d’activité lucrative il y a lieu de se fonder sur les données statistiques pour le gain avec invalidité. Pour le revenu d'invalide, le salaire de référence est celui auquel peuvent prétendre les hommes effectuant des activités simples et répétitives (niveau de qualification 4) dans le secteur privé, à savoir 4'588 fr. par mois (Enquête suisse sur la structure des salaires 2004, TA1, p. 53). Au regard du large éventail d'activités simples et répétitives que recouvrent les secteurs de la production et des services, on doit en effet convenir qu'un certain nombre d'entre elles sont légères et adaptées aux problèmes dorsaux du recourant. Comme les salaires bruts standardisés tiennent compte d'un horaire de travail de 40 heures, soit une durée hebdomadaire inférieure à la moyenne usuelle dans les entreprises en 2004 (41,6 heures; La Vie économique, 7-8-2007, p. 90, B9.2), ce montant doit être porté à 4'771 fr. par mois, soit 57'258 fr. 25 par année. Après adaptation de ce chiffre à l'évolution des salaires selon l'indice des salaires nominaux pour les hommes de l'année 2003 (1,4 %; La Vie économique, 10-2004, p. 91, B10.2), on obtient un revenu annuel de 57'258 fr. 25, soit 28'629 fr. 15 pour une activité à 50 %. Vu l'âge du recourant et ses handicaps, l'OCAI a procédé à un abattement de ce salaire statistique à hauteur de 10 %, ce qui est conforme à la jurisprudence et sur lequel il n'y a pas lieu de revenir. Il en résulte un revenu d'invalide de 25'766 fr. 20 . Après comparaison des gains, le revenu d'invalide s'élève ainsi à 59,08 %, arrondi au pour-cent inférieur soit 59 % (ATF 130 V 122), ouvrant droit à une demi-rente d'invalidité à compter du mois de février 2004.</w:t>
      </w:r>
    </w:p>
    <w:p>
      <w:r>
        <w:t>A/4503/2006 - 15/16 -</w:t>
      </w:r>
    </w:p>
    <w:p>
      <w:r>
        <w:rPr>
          <w:b/>
        </w:rPr>
        <w:t>E. 11</w:t>
      </w:r>
    </w:p>
    <w:p>
      <w:r>
        <w:t>Le recourant, représenté par un mandataire, obtient partiellement gain de cause, de sorte qu’il a droit à une indemnité à titre de participation à ses frais et dépens, fixée en l’espèce à 1'000 fr. (art. 61 let. g LPGA).</w:t>
      </w:r>
    </w:p>
    <w:p>
      <w:r>
        <w:rPr>
          <w:b/>
        </w:rPr>
        <w:t>E. 12</w:t>
      </w:r>
    </w:p>
    <w:p>
      <w:r>
        <w:t>Au vu de l’issue du litige, un émolument de 1'000 fr. est mis à la charge de l’OCAI (art. 69 al. 1bis LAI).</w:t>
      </w:r>
    </w:p>
    <w:p>
      <w:r>
        <w:t>A/4503/2006 - 16/16 -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