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ATAS/613/2016 vom 10. August 2016</w:t>
      </w:r>
    </w:p>
    <w:p>
      <w:r>
        <w:t>GE Cour de justice, 2016-08-10, FR</w:t>
      </w:r>
    </w:p>
    <w:p>
      <w:r>
        <w:rPr>
          <w:b/>
        </w:rPr>
        <w:t xml:space="preserve">Quelle: </w:t>
      </w:r>
      <w:r>
        <w:t>https://mcp.opencaselaw.ch/entscheid/ge_gerichte_ATAS_613_2016</w:t>
      </w:r>
    </w:p>
    <w:p>
      <w:r>
        <w:t>FR: GE_GERICHTE ATAS/613/2016 du 10 août 2016</w:t>
      </w:r>
    </w:p>
    <w:p>
      <w:r>
        <w:t>IT: GE_GERICHTE ATAS/613/2016 del 10 agosto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prescrits, le recours est recevable (art. 56 et 60 LPGA ; art. 89B de la loi sur la procédure administrative du 12 septembre 1985 - LPA-GE - E 5 10).</w:t>
      </w:r>
    </w:p>
    <w:p>
      <w:r>
        <w:rPr>
          <w:b/>
        </w:rPr>
        <w:t>E. 3</w:t>
      </w:r>
    </w:p>
    <w:p>
      <w:r>
        <w:t>Le litige porte sur le droit de la recourante à une rente de l’assurance-invalidité, singulièrement sur son degré d’invalidité.</w:t>
      </w:r>
    </w:p>
    <w:p>
      <w:r>
        <w:rPr>
          <w:b/>
        </w:rPr>
        <w:t>E. 4</w:t>
      </w:r>
    </w:p>
    <w:p>
      <w:r>
        <w:t>Selon l'art. 87 al. 2 RAI, en sa teneur en vigueur dès le 1er janvier 2012, lorsqu'une demande de révision est déposée, celle-ci doit établir de façon plausible que l'invalidité, l'impotence ou l'étendue du besoin de soins découlant de l'invalidité de</w:t>
      </w:r>
    </w:p>
    <w:p>
      <w:r>
        <w:t>A/3875/2015 - 6/11 - l'assuré s'est modifiée de manière à influencer ses droits. D'après l'art. 87 al. 3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 jurisprudence, aussi bien dans le cadre d'une nouvelle demande au sens de l'art. 87 al. 2 RAI (ATF 130 V 71)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Lorsque l'administration entre en matière sur une nouvelle demande,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(ATF 133 V 545 consid. 6.1 p. 546 et 7.1 p. 548).</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A/3875/2015 - 7/11 - objectivement que possible (ATF 102 V 165 consid. 3.1.;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consid. 2.3.2 non publié au Recueil officiel mais dans VSI 2003 p. 218 de l'ATF 129 V 67 [arrêt I 90/02 du 30 décembre 2002];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w:t>
      </w:r>
    </w:p>
    <w:p>
      <w:r>
        <w:t>A/3875/2015 - 8/11 -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non publié au Recueil officiel mais dans VSI 2003 p. 218 de l'ATF 129 V 67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La jurisprudence ne pose pas de grandeur limite au-delà de laquelle l'aide des membres de la famille ne serait plus possible (arrêt 9C_716/2012 du 11 avril 2013, consid. 4.4). Elle pose cependant comme critère que l'aide ne saurait constituer une charge excessive du seul fait qu'elle va au-delà du soutien que l'on peut attendre de manière habituelle sans atteinte à la santé (ATF 133 V 504 consid. 4.2 p. 509 s.; 130 V 97 consid. 3.3.3 p. 101 et les références).</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A/3875/2015 - 9/11 -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En l’espèce, il n’est pas contesté que l’état de santé de la recourante s’est aggravé depuis la dernière décision du 22 novembre 2010. En effet, en plus de sa pathologie ORL, elle souffre depuis avril 2012 de troubles psychiques pour lesquels elle est en traitement chez le Dr C______, psychiatre. Il convient d’examiner quelles sont les répercussions des atteintes à la santé de la recourante dans l’accomplissement des tâches ménagères, étant relevé qu’elle n’a jamais travaillé et que selon ses propres déclarations, sans invalidité, elle n’exercerait aucune activité lucrative. Malgré une prise en charge psychiatrique intensive depuis le mois d’avril 2012 et un traitement antidépresseur adéquat, le psychiatre a constaté des limitations fonctionnelles significatives depuis janvier 2013. Il a ainsi objectivé des troubles de la concentration, une aboulie, un ralentissement psychomoteur, un isolement social total, une tristesse significative avec anhédonie et absence de loisirs, ainsi que des difficultés pour faire son ménage et partiellement pour maintenir son hygiène. Dans son premier rapport, le psychiatre a indiqué que l’incapacité de travail était totale et persistante (cf. rapport du 24 décembre 2013). Le 24 février 2014, le psychiatre faisait état en plus d’idées de persécution et évaluait l’incapacité de travail à 100% toujours depuis le 1er janvier 2013 « dans l’activité d’ouvrière », précisant qu’il était impossible pour la recourante de réaliser des tâches simples (cf. pièce 48, p. 3 intimé). Cette évaluation dans une activité que la recourante n’a jamais exercée est pour le moins surprenante. Il convient de relever à cet égard que l’intimé n’a pas jugé utile de faire préciser ce point par le psychiatre, alors qu’il avait pourtant fait état de difficultés à accomplir les tâches ménagères. La recourante soutient en premier lieu que l’enquêté ménagère n’est pas appropriée pour évaluer ses empêchements dans les activités ménagères, puisqu’elle souffre de troubles psychiques. Elle relève au surplus des incohérences dans la pondération des champs d’activités, concernant notamment le poste de soins aux enfants, ainsi que le taux des empêchements retenus dans l’entretien du logement, la lessive et l’entretien des vêtements, et enfin l’exigibilité des membres de sa famille. La chambre de céans constate que dans son enquête ménagère du 14 avril 2015, l’enquêteuse n’a tenu compte, au titre des atteintes à la santé, que des diagnostics psychiatriques. Or, sur le plan somatique, la recourante présente d’autres pathologies, notamment ORL, qui entraînent apparemment toujours des limitations fonctionnelles, à savoir une fatigue post-radique et des limitations des efforts cervicaux et de la ceinture scapulaire (cf. rapport du Dr D______ du 6 mars 2014). Il convient de relever que pour la capacité de travail, le Dr D______ renvoyait à</w:t>
      </w:r>
    </w:p>
    <w:p>
      <w:r>
        <w:t>A/3875/2015 - 10/11 - l’appréciation du médecin traitant. Il est ainsi permis de douter que les enquêteurs aient été pleinement conscients des répercussions des diagnostics médicaux dans l'accomplissement des tâches ménagères. Quant aux anomalies et incohérences mises en évidence par la recourante, la chambre de céans relève en premier lieu que la pondération des différentes postes est demeurée la même qu’en 2010, sans explication, alors que l’état de santé de la recourante s’est aggravé. La pondération du poste « soins aux enfants notamment est restée la même que lors de la première enquête ménagère de 2010, soit 10%, alors que les enfants ont grandis, le dernier étant âgé de 15 ans en 2015, et que la fille aînée a quitté le domicile familial. Ces faits auraient dû entraîner à tout le moins une baisse du taux de pondération (cf. arrêt 9C_687/2014 du 30 mars 2015). La recourante conteste par ailleurs les empêchements retenus dans les postes alimentation et entretien du logement, dans la mesure où, compte tenu de son atteinte psychique, elle ne fournit de l’aide que très rarement pour le poste alimentation et qu’elle ne participe pratiquement à aucune activité concernant l’entretien du logement. Enfin, concernant l’exigibilité des membres de la famille, on recherche en vain dans l’enquête une description de l’atteinte à la santé de l’époux de la recourante et de ses limitations fonctionnelles, alors qu’il perçoit une rente de la SUVA. Il est par ailleurs mentionné que la fille aînée apporte de l’aide ; or, elle n’habite pas avec sa famille et travaillerait à plein temps. Quant aux deux fils de la recourante, ils sont en études. Au vu de ce qui précède, la chambre de céans considère qu’en l’occurrence, l’enquête économique sur le ménage n’a pas valeur probante pour déterminer les empêchements rencontrés par la recourante dans ses travaux habituels. Compte tenu de la problématique psychique prédominante, des difficultés relevées par le psychiatre, notamment de l’impossibilité pour la recourante d’accomplir des tâches simples, il convient de renvoyer la cause à l’intimé afin qu’il questionne de manière plus précise le Dr C______ sur les empêchements rencontrés dans les tâches ménagères.</w:t>
      </w:r>
    </w:p>
    <w:p>
      <w:r>
        <w:rPr>
          <w:b/>
        </w:rPr>
        <w:t>E. 9</w:t>
      </w:r>
    </w:p>
    <w:p>
      <w:r>
        <w:t>Le recours est partiellement admis et la cause renvoyée à l’intimé pour instruction complémentaire et nouvelle décision.</w:t>
      </w:r>
    </w:p>
    <w:p>
      <w:r>
        <w:rPr>
          <w:b/>
        </w:rPr>
        <w:t>E. 10</w:t>
      </w:r>
    </w:p>
    <w:p>
      <w:r>
        <w:t>La recourante a droit à une indemnité à titre de participation à ses frais et dépens, fixée en l’espèce CHF 1'500.- (cf. art. 61 let. g LPGFA ; art. 6 du règlement sur les frais, émoluments et indemnités en procédure administrative du 30 juillet 1986 (RFPA - E 5 10.03). Au vu de l’issue du litige, un émolument de CHF 500.- est mis à la charge de l’intimé (art. 69 al. 1bis LAI).</w:t>
      </w:r>
    </w:p>
    <w:p>
      <w:r>
        <w:t>A/3875/2015 - 11/11 -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