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ATAS/613/2014 vom 19. Mai 2014</w:t>
      </w:r>
    </w:p>
    <w:p>
      <w:r>
        <w:t>GE Cour de justice, 2014-05-19, FR</w:t>
      </w:r>
    </w:p>
    <w:p>
      <w:r>
        <w:rPr>
          <w:b/>
        </w:rPr>
        <w:t xml:space="preserve">Quelle: </w:t>
      </w:r>
      <w:r>
        <w:t>https://mcp.opencaselaw.ch/entscheid/ge_gerichte_ATAS_613_2014</w:t>
      </w:r>
    </w:p>
    <w:p>
      <w:r>
        <w:t>FR: GE_GERICHTE ATAS/613/2014 du 19 mai 2014</w:t>
      </w:r>
    </w:p>
    <w:p>
      <w:r>
        <w:t>IT: GE_GERICHTE ATAS/613/2014 del 19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A/19/2014 - 8/13 -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27 novembre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Déposé dans les forme et délai prévus par la loi, le présent recours est recevable, (art. 56ss LPGA).</w:t>
      </w:r>
    </w:p>
    <w:p>
      <w:r>
        <w:rPr>
          <w:b/>
        </w:rPr>
        <w:t>E. 4</w:t>
      </w:r>
    </w:p>
    <w:p>
      <w:r>
        <w:t>Est litigieuse la question de savoir si c'est à juste titre que l'intimé a refusé la demande de rente d'invalidité de la recourante.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A/19/2014 - 9/13 -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L'invalidité des assurés qui n'exercent pas d'activité lucrative et dont on ne peut raisonnablement exiger qu'ils en entreprennent une est évaluée, en dérogation à l'art. 16 LPGA, en fonction de l'incapacité d'accomplir leurs travaux habituels (art. 28a al. 2 LAI).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consid. 3.3).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w:t>
      </w:r>
    </w:p>
    <w:p>
      <w:r>
        <w:t>A/19/2014 - 10/13 -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personne chargée de l'enquête doit indiquer les activités que l'assuré ne peut plus accomplir, ou alors uniquement de manière très limitée, et depuis quand cette limitation est intervenue. En outre, elle donnera des renseignements sur l'ampleur des limitations liées à l'invalidité et examinera si l'assuré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l'assuré par des tiers dans l'accomplissement de ses activités (OFAS, Circulaire sur l'invalidité et l'impotence dans l'assurance-invalidité – CIIAI, chiffre 3083). On peut renoncer à un examen sur place pour ce qui concerne le ménage si un avis médical indique qu’il n’y a pas de restriction dans ce domaine (OFAS, CIIAA, chiffre 3096.1).</w:t>
      </w:r>
    </w:p>
    <w:p>
      <w:r>
        <w:rPr>
          <w:b/>
        </w:rPr>
        <w:t>E. 8</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A/19/2014 - 11/13 -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il est établi que la capacité de travail exigible de l’assurée est nulle, dans l’activité habituelle et dans une activité adaptée, depuis le 20 novembre 2009. Femme au foyer, l’évaluation de l’invalidité de Mme A______ doit se faire par rapport à sa capacité d’accomplir ses travaux habituels. Le rapport d’enquête économique sur le ménage du 30 septembre 2013 a détaillé pour chaque travail, la situation de l’assurée et les différentes limitations évoquées dans les rapports médicaux. Tant la pondération des tâches que les empêchements dans chacune d’entre elles concordent avec les renseignements médicaux du dossier. Le rapport satisfait aux critères jurisprudentiels, raison pour laquelle il doit lui être reconnu pleine valeur probante. Dans son recours, l’assurée n’indique ni quels points de l’enquête ménagère seraient erronés ni les éventuelles lacunes de celui-ci. Il ne ressort pas non plus dudit rapport que la recourante ait émis, lors de l’entretien avec l’enquêtrice, des divergences avec l’évaluation de celle-ci.</w:t>
      </w:r>
    </w:p>
    <w:p>
      <w:r>
        <w:t>A/19/2014 - 12/13 - L’assurée se limite, dans son recours, à mentionner qu’elle estime remplir les conditions d’octroi d’une rente sans détailler son désaccord avec la décision de l’OAI. Soutenue par son médecin traitant, celui-ci invoque la leucémie myéloïde chronique actuellement stabilisée sous traitement pour justifier le droit aux prestations de sa patiente. Il cite aussi une déchirure transfixiante du tendon sous- épineux droit pour laquelle une évaluation par le Dr J_____ est prévue. L’assurée a par ailleurs produit des pièces médicales nouvelles faisant état d’une intervention chirurgicale du Dr J_____ le 14 février 2014. Ces deux atteintes à la santé ont été analysées dans le rapport d’examen clinique rhumatologique et psychiatrique du 31 juillet 2013. Les praticiens avaient cité le dossier radiologique et notamment la conclusion de suspicion de rupture transfixiante du supra-épineux droit conformément à un ultrason de l’épaule droite effectué par le Dr K____, radiologue, le « 19.109.2012 », soit dans le courant de l’automne 2012. Une arthro-IRM de l’épaule droite du 3 octobre 2012 mentionnait la lésion transfixiante du supra-épineux. Le rapport du 31 juillet 2013 retenait toutefois que l’atteinte de la coiffe des rotateurs bilatérale visualisée sur l’arthro- IRM et l’ultrason du 3 octobre 2012 n’expliquait que partiellement les symptômes décrits par l’assurée. Cliniquement, il n’y avait pas de rupture complète de la coiffe (p. 9 du rapport). Les diagnostics de syndrome de la coiffe des rotateurs bilatérales et de leucémie myéloïde chronique étaient connus lors de l’enquête ménagère. Sous la rubrique de l’alimentation, l’enquêtrice a mentionné que le Tasigna, médicament contre la leucémie, procurait des nausées, un malaise et de la faiblesse. L’assurée devait rester couchée la matinée. Les problèmes aux épaules l’empêchaient de porter des casseroles lourdes ou de faire un lit et impliquaient l’aide d’une amie pour différents travaux tels que le nettoyage de la cuisinière, du frigo ou du sol, des vitres et des sanitaires. Il s’agit donc de deux atteintes à la santé, antérieures à la décision litigieuse, dont il a été tenu compte tant dans les évaluations médicales que lors de l’enquête ménagère. Il est enfin relevé que les explications retenues dans le rapport d’enquête ménagère sont conformes à la description de son quotidien qu’avait faite l’assurée quelques mois auparavant auprès des Drs H_____ et I_____. Le taux d’invalidité de 33,5% est dans l’ordre de grandeur que lesdits médecins avaient envisagé lors de l’examen de la patiente.</w:t>
      </w:r>
    </w:p>
    <w:p>
      <w:r>
        <w:rPr>
          <w:b/>
        </w:rPr>
        <w:t>E. 12</w:t>
      </w:r>
    </w:p>
    <w:p>
      <w:r>
        <w:t>Au vu de ce qui précède, le recours sera rejeté.</w:t>
      </w:r>
    </w:p>
    <w:p>
      <w:r>
        <w:rPr>
          <w:b/>
        </w:rPr>
        <w:t>E. 13</w:t>
      </w:r>
    </w:p>
    <w:p>
      <w:r>
        <w:t>La procédure n'est pas gratuite (art. 69 al. 1bis LAI). La recourante, qui succombe, en supportera les frais, fixés en l'espèce à CHF 200.-.</w:t>
      </w:r>
    </w:p>
    <w:p>
      <w:r>
        <w:t>A/19/2014 - 13/13 -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