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ATAS/613/2011 vom 7. Juni 2011</w:t>
      </w:r>
    </w:p>
    <w:p>
      <w:r>
        <w:t>GE Cour de justice, 2011-06-07, FR</w:t>
      </w:r>
    </w:p>
    <w:p>
      <w:r>
        <w:rPr>
          <w:b/>
        </w:rPr>
        <w:t xml:space="preserve">Quelle: </w:t>
      </w:r>
      <w:r>
        <w:t>https://mcp.opencaselaw.ch/entscheid/ge_gerichte_ATAS_613_2011</w:t>
      </w:r>
    </w:p>
    <w:p>
      <w:r>
        <w:t>FR: GE_GERICHTE ATAS/613/2011 du 7 juin 2011</w:t>
      </w:r>
    </w:p>
    <w:p>
      <w:r>
        <w:t>IT: GE_GERICHTE ATAS/613/2011 del 7 giugno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Conformément à l’art. 30 LPGA, tous les organes de mise en œuvre des assurances sociales ont l’obligation d’accepter les demandes, requêtes ou autres documents qui leur parviennent par erreur. Ils en enregistrent la date de réception et les transmettent à l’organe compétent. L’art. 39 LPGA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w:t>
      </w:r>
    </w:p>
    <w:p>
      <w:r>
        <w:t>A/3948/2010 - 7/12 - C’est donc à juste titre que l’OAI a transmis à l’ancien Tribunal cantonal des assurances sociales le recours du 9 novembre 2010, qui lui avait été adressé par erreur par la recourante. Formé le 9 novembre 2010 et reçu le lendemain par l’OAI, le recours contre la décision du 27 octobre 2010 intervient en temps utile (art. 60 al. 1 LPGA). Par ailleurs, bien que succinct, l’acte de la recourante permet de comprendre quelle est la décision attaquée, expose malgré tout les faits et les motifs de son désaccord. L’on comprend par ailleurs qu’elle demande l’annulation de la décision litigieuse. De la sorte, les autres conditions prévues par les art. 56 et ss LPGA, notamment l’art. 61 lit. b LPGA sont réalisées. Le recours est ainsi recevable.</w:t>
      </w:r>
    </w:p>
    <w:p>
      <w:r>
        <w:rPr>
          <w:b/>
        </w:rPr>
        <w:t>E. 4</w:t>
      </w:r>
    </w:p>
    <w:p>
      <w:r>
        <w:t>Le litige porte sur le droit de la recourante à une rente d’invalidité de l’assurance- invalidité, et spécifiquement sur l’évaluation du taux d’invalidité.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w:t>
      </w:r>
    </w:p>
    <w:p>
      <w:r>
        <w:t>A/3948/2010 - 8/12 -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w:t>
      </w:r>
    </w:p>
    <w:p>
      <w:r>
        <w:t>A/3948/2010 - 9/12 - interruption notable et si au terme de cette année, il est invalide à 40 % au moins (art. 28 al. 1 LAI). En cas de suppression de la rente du fait de l’abaissement du degré d’invalidité et si l’assuré, dans les trois ans qui suivent, présente à nouveau un degré d’invalidité ouvrant le droit à la rente en raison d’une incapacité de travail de même origine, on déduira de la période d’attente que lui imposerait l’art. 28 al. 1 lit. b LAI, celle qui a précédé le premier octroi (art. 29bis RAI). Le droit à la rente prend naissance au plus tôt à l’échéance d’une période de six mois à compter de la date à laquelle l’assuré a fait valoir son droit aux prestations, mais pas avant le mois qui suit son 18ème anniversaire (art. 29 al. 1 LAI ; dans sa teneur en vigueur depuis le 1er janvier 2008 applicable en l’espèce).</w:t>
      </w:r>
    </w:p>
    <w:p>
      <w:r>
        <w:rPr>
          <w:b/>
        </w:rPr>
        <w:t>E. 7</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a) En l’espèce, la décision entreprise (datée du 27 octobre 2010) a été rendue sur la base d’un état de fait médical incomplet, puisque différents diagnostics nouveaux, notamment un carcinome du sein droit ont été posés le 24 juin 2010, soit avant que ne soit rendue la décision précitée. La Dresse L_________ atteste d’une incapacité de travail complète sur la base de ces différents diagnostics. Quant au SMR, il indique dans son avis du 17 janvier 2011 n’avoir pas eu connaissance des nouvelles atteintes à la santé lors de l’examen du 27 mai 2010 et de son rapport du 2 juillet 2010.</w:t>
      </w:r>
    </w:p>
    <w:p>
      <w:r>
        <w:t>A/3948/2010 - 10/12 -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Il est indéniable que d’un point de vue médical le dossier n’est pas suffisamment instruit, puisque seul l’avis du médecin traitant prend en compte l’ensemble des diagnostics concernant la recourante. Or, il n’est pas possible de se fonder sur ce seul avis, puisque le juge peut et doit tenir compte du fait que selon l’expérience, le médecin traitant est généralement enclin, en cas de doute, à prendre parti pour son patient en raison de la relation de confiance qui l’unit à ce dernier (ATF 125 V 353, consid. 3b/cc et les références). b) L’OAI fait toutefois valoir que sa décision peut être maintenue, car au moment de la décision du 27 octobre 2010, la recourante ne présentait pas encore d’incapacité de travail de 40% au mois depuis une année, ni une invalidité de 40% au moins, exigence prévue par l’art. 28 al. 1 LAI. Ainsi l’évaluation de cette nouvelle atteinte devait avoir lieu dans le cadre d’une procédure de révision devant donner lieu à une nouvelle décision. Ce point de vue se heurte toutefois à deux objections. En premier lieu, l’OAI ne tient pas compte du fait que le délai prévu par l’art. 28 al. 1 LAI a déjà été décompté du droit aux prestations de la recourante. En effet, il découle de la décision entreprise : « D’autre part, malgré que l’on admette une péjoration de votre état de santé pour la période de mars 2008 à février 2009, cela n’ouvre pas le droit à une rente étant donné que cette période n’est pas supérieure à une année ». Il a ainsi déjà été tenu compte d’une période d’attente ou de carence au sens de l’art. 28 al. 1 LAI, ceci durant une année pleine et moins de 3 ans auparavant. Il est donc exclu, de tenir compte de cette période une deuxième fois. Certes, l’art. 29bis RAI n’est pas applicable directement, puisque l’on ne se trouve pas dans l’hypothèse de la l’ouverture d’un nouveau droit suite à la suppression d’une rente. Toutefois, il découle de cette disposition que le législateur n’a pas voulu que l’on impute deux délais de carence dans une période de temps limitée de trois ans.</w:t>
      </w:r>
    </w:p>
    <w:p>
      <w:r>
        <w:t>A/3948/2010 - 11/12 - En second lieu, il sera relevé que le dossier n’est pas suffisamment instruit sur le plan professionnel. En effet, indépendamment de la nouvelle affection à la santé de la recourante, il sera relevé que l’avis du SMR du 27 mai 2010 (avis sur lequel la décision entreprise se fonde) atteste d’une incapacité de travail à 50% dans l’activité habituelle de caissière et d’une pleine capacité de travail dans une activité adaptée. Le SMR a toutefois pris la peine de préciser que cette activité adaptée devait être traduite en termes de métier par les spécialistes en réadaptation. Il ne ressort toutefois pas du dossier que de tels spécialistes soient intervenus. Il ne ressort par ailleurs pas du dossier la moindre explication quant à ce que pourrait être une activité adaptée. Dans ces conditions, il n’est pas établi qu’il existe effectivement des activités adaptées entrant concrètement en ligne de compte. c) Il se justifie ainsi de compléter l’instruction tant sur le plan médical que sur le plan professionnel. La Chambre des assurances sociales considère que l’OAI est mieux outillé pour ce faire, notamment sur le plan professionnel. A cela s’ajoute qu’un renvoi du dossier à l’intimé a l’avantage de ne pas priver les parties d’un degré de juridiction.</w:t>
      </w:r>
    </w:p>
    <w:p>
      <w:r>
        <w:rPr>
          <w:b/>
        </w:rPr>
        <w:t>E. 9</w:t>
      </w:r>
    </w:p>
    <w:p>
      <w:r>
        <w:t>Le dossier sera ainsi renvoyé à l’OAI pour complément d’instruction tant sur le plan médical que sur le plan professionnel, en vue de la traduction en termes de métier d’une éventuelle capacité de travail dans une activité adaptée.</w:t>
      </w:r>
    </w:p>
    <w:p>
      <w:r>
        <w:rPr>
          <w:b/>
        </w:rPr>
        <w:t>E. 10</w:t>
      </w:r>
    </w:p>
    <w:p>
      <w:r>
        <w:t>Le recours sera ainsi partiellement admis.</w:t>
      </w:r>
    </w:p>
    <w:p>
      <w:r>
        <w:rPr>
          <w:b/>
        </w:rPr>
        <w:t>E. 11</w:t>
      </w:r>
    </w:p>
    <w:p>
      <w:r>
        <w:t>Un émolument de 500 fr. est mis à charge de l’intimé, qui succombe (art. 69 al. 1bis LAI)</w:t>
      </w:r>
    </w:p>
    <w:p>
      <w:r>
        <w:t>A/3948/2010 - 12/12 -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