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ATAS/612/2016 vom 10. August 2016</w:t>
      </w:r>
    </w:p>
    <w:p>
      <w:r>
        <w:t>GE Cour de justice, 2016-08-10, FR</w:t>
      </w:r>
    </w:p>
    <w:p>
      <w:r>
        <w:rPr>
          <w:b/>
        </w:rPr>
        <w:t xml:space="preserve">Quelle: </w:t>
      </w:r>
      <w:r>
        <w:t>https://mcp.opencaselaw.ch/entscheid/ge_gerichte_ATAS_612_2016</w:t>
      </w:r>
    </w:p>
    <w:p>
      <w:r>
        <w:t>FR: GE_GERICHTE ATAS/612/2016 du 10 août 2016</w:t>
      </w:r>
    </w:p>
    <w:p>
      <w:r>
        <w:t>IT: GE_GERICHTE ATAS/612/2016 del 10 agosto 2016</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 J 7 10]) auprès du tribunal des assurances du canton de domicile de l’assuré (art. 58 al. 1 LPGA).</w:t>
      </w:r>
    </w:p>
    <w:p>
      <w:r>
        <w:t>A/1826/2015 - 14/23 - b) S’agissant des prestations complémentaire cantonales, l’art. 43 LPCC ouvre les mêmes voies de droit. c) En l’espèce, le recours a été interjeté dans les forme et délai légaux de sorte qu'il est recevable (art. 56ss LPGA).</w:t>
      </w:r>
    </w:p>
    <w:p>
      <w:r>
        <w:rPr>
          <w:b/>
        </w:rPr>
        <w:t>E. 3</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w:t>
      </w:r>
    </w:p>
    <w:p>
      <w:r>
        <w:rPr>
          <w:b/>
        </w:rPr>
        <w:t>E. 4</w:t>
      </w:r>
    </w:p>
    <w:p>
      <w:r>
        <w:t>Dans la procédure juridictionnelle administrative, la décision détermine l'objet de la contestation qui peut être déféré en justice par voie de recours (arrêt du Tribunal fédéral des assurances U 417/05 du 28 septembre 2006 consid. 1.1).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du rapport juridique déterminé par la décision, les aspects non contestés de ce rapport juridique sont certes compris dans l'objet de la contestation, mais non pas dans l'objet du litige ATF 122 V 242 consid. 2a).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117 V 294 consid. 2a). Conformément aux principes qui précèdent, le litige porte uniquement sur les gains de l’activité lucrative dont l’intimé a tenu compte dans le calcul des prestations complémentaires dès le 1er janvier 2010, dès lors que le recourant ne conteste plus les autres éléments de la décision querellée. La remise et son étendue font l'objet d'une procédure distincte de la restitution (arrêt du Tribunal fédéral des assurances P 64/06 du 30 octobre 2007 consid. 4), de sorte que ce point ne fait pas partie du litige.</w:t>
      </w:r>
    </w:p>
    <w:p>
      <w:r>
        <w:rPr>
          <w:b/>
        </w:rPr>
        <w:t>E. 5</w:t>
      </w:r>
    </w:p>
    <w:p>
      <w:r>
        <w:t>a) En vertu de l'art. 4 LPC, les personnes qui ont leur domicile et leur résidence habituelle (art. 13 LPGA) en Suisse ont droit à des prestations complémentaires, dès lors qu’elles ont droit, notamment, à une rente ou à une allocation pour impotent de l’assurance-invalidité (al. 1 let. c). Le montant de la prestation complémentaire annuelle correspond à la part des dépenses reconnues qui excède les revenus déterminants (art. 9 al. 1 LPC). Les revenus déterminants au sens de l'art. 11 LPC comprennent notamment le produit de la fortune mobilière et</w:t>
      </w:r>
    </w:p>
    <w:p>
      <w:r>
        <w:t>A/1826/2015 - 15/23 - immobilière ainsi que les rentes, pensions et autres prestations périodiques, y compris les rentes de l'AVS et de l'AI (art. 11 al. 1 let. b et d LPC). S'y ajoute un quinzième de la fortune nette pour les bénéficiaires de rentes de l'assurance- invalidité, dans la mesure où elle dépasse 60'000 fr. pour les couples (art. 11 al. 1 let. c LPC). Sont également comprises dans les revenus déterminants les ressources et parts de fortune dont un ayant droit s'est dessaisi (art. 11 al. 1 let. g LPC). b) S'agissant des prestations complémentaires cantonales, l’art. 4 LPCC prévoit qu’ont droit aux prestations les personnes dont le revenu annuel déterminant n’atteint pas le revenu minimum cantonal d’aide sociale applicable. L'art. 5 al. 1 LPCC prévoit que le revenu déterminant est calculé conformément aux règles fixées dans la loi fédérale et ses dispositions d'exécution, moyennant les dérogations suivantes: les prestations complémentaires fédérales sont ajoutées au revenu déterminant (let. a) et la part de fortune nette prise en compte est de un huitième après déduction des franchises prévues à l'art. 11 al. 1 let. c LPC. Le montant de la prestation complémentaire correspond à la part des dépenses reconnues qui excède le revenu annuel déterminant de l'intéressé (art. 15 al. 1 LPCC).</w:t>
      </w:r>
    </w:p>
    <w:p>
      <w:r>
        <w:rPr>
          <w:b/>
        </w:rPr>
        <w:t>E. 6</w:t>
      </w:r>
    </w:p>
    <w:p>
      <w:r>
        <w:t>Conformément à l’art. 159 al. 3 du Code civil (CC - RS 210), les époux se doivent l’un à l’autre fidélité et assistance. Ainsi, lorsque l’époux a besoin de soins et de surveillance, ces tâches font incontestablement partie des obligations conjugales de l’épouse. Cependant, le devoir de contribuer à l’entretien de la famille au sens de l’art. 163 CC fait également partie des obligations des époux (arrêt du Tribunal fédéral des assurances P 18/99 du 22 septembre 2000 consid. 2b). Selon la jurisprudence rendue sur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(arrêt du Tribunal fédéral des assurances 5C.42/2002 du 26 septembre 2002 consid. 2.1).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(arrêt du Tribunal fédéral 9C_240/2010 du 3 septembre 2010 consid. 4.1).</w:t>
      </w:r>
    </w:p>
    <w:p>
      <w:r>
        <w:rPr>
          <w:b/>
        </w:rPr>
        <w:t>E. 7</w:t>
      </w:r>
    </w:p>
    <w:p>
      <w:r>
        <w:t>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w:t>
      </w:r>
    </w:p>
    <w:p>
      <w:r>
        <w:t>A/1826/2015 - 16/23 -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A titre d’exemples, la chambre de céans a exclu tout gain potentiel pour une femme de 58 ans, sans formation, sans aucune expérience professionnelle, n'ayant jamais eu aucune activité en dehors du cercle familial, ne parlant pas le français et souffrant de nombreuses affections (ATAS/389/2013 consid. 10), de même que pour l’épouse d’un recourant n’ayant suivi que la scolarité primaire dans son pays d’origine, qui s’était mariée à 18 ans, avait eu 4 enfants et n’avait jamais travaillé, et qui ne maîtrisait pas le français et présentait un syndrome somatoforme douloureux et un état dépressif léger (ATAS/1025/2013 consid. 10). L’exigibilité de l’activité lucrative du conjoint d’un bénéficiaire de prestations complémentaires ne saurait en outre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l'assurance-invalidité (arrêt du Tribunal fédéral 8C_440/2008 du 6 février 2009 consid. 5.1).</w:t>
      </w:r>
    </w:p>
    <w:p>
      <w:r>
        <w:rPr>
          <w:b/>
        </w:rPr>
        <w:t>E. 8</w:t>
      </w:r>
    </w:p>
    <w:p>
      <w:r>
        <w:t>En ce qui concerne le critère ayant trait à l'état de santé d’un 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de l’ordonnance sur les prestations complémentaires à l’assurance-vieillesse, survivants et invalidité (OPC-AVS/AI - RS 831.301)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 invalidité (arrêt du Tribunal fédéral 8C_68/2007 du 14 mars 2008 consid. 5.3). La jurisprudence a toutefois précisé que l'obligation de diminuer le dommage impose à un assuré de mettre en valeur sa capacité de travail résiduelle quand bien même une procédure est pendante contre le prononcé de l'assurance-invalidité (arrêt du</w:t>
      </w:r>
    </w:p>
    <w:p>
      <w:r>
        <w:t>A/1826/2015 - 17/23 - Tribunal fédéral 8C_574/2008 du 8 juin 2009 consid. 5.4 ; arrêt du Tribunal fédéral des assurances P 43/05 du 25 octobre 2006 consid. 3.2.3).</w:t>
      </w:r>
    </w:p>
    <w:p>
      <w:r>
        <w:rPr>
          <w:b/>
        </w:rPr>
        <w:t>E. 9</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Selon le principe de libre appréciation des preuves,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w:t>
      </w:r>
    </w:p>
    <w:p>
      <w:r>
        <w:rPr>
          <w:b/>
        </w:rPr>
        <w:t>E. 10</w:t>
      </w:r>
    </w:p>
    <w:p>
      <w:r>
        <w:t>juillet 2006 consid. 4.2).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w:t>
      </w:r>
    </w:p>
    <w:p>
      <w:r>
        <w:t>A/1826/2015 - 18/23 -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(arrêt du Tribunal fédéral 8C_968/2012 du 18 novembre 2013 consid. 2.2). En l’espèce, l’intimé a repris le calcul du droit aux prestations du recourant à la suite de l’octroi à ce dernier d’une rente de la prévoyance professionnelle. Il s’agit incontestablement d’un élément nouveau justifiant la reconsidération des décisions déjà notifiées. C’est en février 2014 que l’intimé a été informé de ce changement. Les décisions recalculant le droit aux prestations et exigeant la restitution des montants indûment versés ayant été rendues le 29 juillet suivant, soit moins d’une année après, le droit d’exiger la restitution n’était pas périmé. On précisera en effet que ce n’est pas le montant de l’épargne qui justifie la reconsidération des décisions, la fortune retenue étant identique à celle prise en compte dans les décisions initiales. Il en découle que l’intimé est fondé, sur le principe, à réclamer la restitution de prestations indues.</w:t>
      </w:r>
    </w:p>
    <w:p>
      <w:r>
        <w:rPr>
          <w:b/>
        </w:rPr>
        <w:t>E. 11</w:t>
      </w:r>
    </w:p>
    <w:p>
      <w:r>
        <w:t>Il convient en premier lieu de déterminer si l’épouse du recourant est en mesure, au plan médical, de mettre en valeur sa capacité de travail. Le Tribunal fédéral a considéré que tel était le cas dans une activité ne nécessitant pas d'efforts physiques intenses, se référant sur ce fait aux conclusions des médecins du SMR. La chambre de céans ne saurait revenir sur cette appréciation en écartant désormais le rapport des Dresses G______ et H______ au profit de celui de la Dresse F______. L’épouse du recourant fait toutefois valoir qu’elle a depuis subi une aggravation de son état de santé. On notera cependant que les diagnostics avancés par la Dresse J______ sont très largement superposables à ceux que le SMR avait retenus en 2002. L’épouse du recourant a certes connu des problèmes digestifs en 2014, mais leur caractère transitoire ne permet pas de retenir une aggravation de l’état de santé entravant de manière définitive l’exercice d’une activité lucrative dans les limites fixées par le Tribunal fédéral, pas plus que le traitement médicamenteux instauré. La chambre de céans relève en outre qu’alors même que le recourant a été invité à produire un rapport de la Dresse J______ exposant de manière motivée l’incapacité de travail de l’épouse du recourant et les différents diagnostics la justifiant, le seul document qu’il ait fourni se borne à énumérer les atteintes de son épouse, mais ne fait pas état d’une incapacité de travail. La Dresse J______ n’a pas non plus attesté d’une incapacité de travail dans le document produit par le recourant à l’appui de son courrier du 5 janvier 2015. Eu égard à ces éléments, on ne peut retenir que l’état de santé de la recourante se soit modifié depuis l’arrêt rendu par le Tribunal fédéral dans une mesure l’empêchant désormais de travailler à tout le moins à mi-temps.</w:t>
      </w:r>
    </w:p>
    <w:p>
      <w:r>
        <w:t>A/1826/2015 - 19/23 - S’agissant de l’exigibilité d’une activité lucrative au vu des obligations familiales, le recourant se réfère à l’arrêt du Tribunal fédéral du 29 janvier 2009 dans la cause 8C_470/2008, concernant une femme atteinte de fibromyalgie, mère de trois enfants, que notre Haute Cour a considérée capable de travailler à mi-temps. Il invoque son application a contrario, dès lors que son épouse ne pourrait tabler sur son aide. Sur ce point, il suffit de souligner que l’arrêt 8C_470/2008 concerne précisément le recourant. Cet argument tombe dès lors à faux. Du point de vue de l’exigibilité, on ajoutera en outre que si l’aide et l’assistance au recourant sont peut- être plus conséquentes, à tout le moins depuis novembre 2013 eu égard à la dégradation de son état de santé, il s’agit là d’un élément largement compensé par le fait que les enfants du couple sont désormais adultes et que l’épouse du recourant ne doit plus assumer de tâches éducatives. Les enfants adultes habitant avec le recourant et son épouse, on peut également admettre qu’ils peuvent soulager cette dernière dans l’accomplissement des tâches ménagères, voire dans l’assistance au recourant. Le recourant fait en outre valoir que son état serait incompatible avec une activité professionnelle de son épouse. L’intimé admet une aggravation de son état de santé, et le recourant s’est vu reconnaître le droit à une allocation pour impotent dès novembre 2013. Sur ce point, on peut s’étonner des divergences entre l’enquête ménagère et le certificat du Dr L______, ce praticien ayant admis en mars 2015 que le recourant était autonome dans les actes de la vie quotidienne. Quoi qu’il en soit, même si l’on écarte les indications du médecin du recourant pour tenir compte des conclusions de l’enquête ménagère sur ce point, force est de constater que l’aide apportée par l’épouse du recourant n’est pas d’une ampleur telle qu’une activité professionnelle à mi-temps n’est pas possible. En effet, l’assistance de sa femme est nécessaire pour la toilette, le séchage et l’habillage du recourant le matin. On ne voit ainsi pas pour quels motifs celle-ci ne serait pas en mesure de prodiguer les soins d’hygiène nécessaires et d’aider son mari à se vêtir avant de partir au travail. Quant aux injections d’insuline, il n’est pas établi que le recourant ne soit pas en mesure d’y procéder lui-même pour des motifs médicaux. Or, il est exigible qu’il apprenne à injecter l’insuline lui-même en vertu de son obligation de diminuer le dommage. Ce principe, généralement valable en assurances sociales, implique qu’un assuré qui demande des prestations doit d'abord entreprendre tout ce que l'on peut raisonnablement attendre de lui pour atténuer les conséquences de son invalidité (arrêt du Tribunal fédéral 9C_785/2014 du 30 septembre 2015 consid. 3.3). De plus, même si tel n’était pas le cas, les injections ayant lieu le matin, le midi et le soir, elles restent compatibles avec l’exercice d’une activité lucrative à mi-temps, exercée soit la matinée, soit l’après-midi par exemple. On notera enfin que le Dr L______ a indiqué que la présence de l’épouse du recourant conférait un sentiment de sécurité à ce dernier, et qu’il s’agissait probablement là du motif pour lequel cette présence était exigée. La formulation de ce rapport donne cependant à penser que la nécessité médicale d’une surveillance et d’une présence permanente de l’épouse au domicile ne s’impose pas pour le médecin traitant,</w:t>
      </w:r>
    </w:p>
    <w:p>
      <w:r>
        <w:t>A/1826/2015 - 20/23 - puisqu’il émet des hypothèses sur les motifs qui auraient pu conduire d’autres médecins à considérer qu’une telle mesure était indispensable du point de vue médical. On relèvera d’ailleurs que contrairement à ce que semble penser le Dr L______, aucun autre médecin n’a attesté du caractère médicalement indispensable de la présence de l’épouse du recourant. La Dresse K______ a en effet fait état d’un besoin d’aide quotidienne, mais n’a pas indiqué que cette aide était permanente et impliquait la présence continue de l’épouse aux côtés du recourant. Eu égard à ces éléments, la chambre de céans retiendra qu’une activité professionnelle à 50 % en matière de prestations fédérales et à 25 % en matière de prestations cantonales reste exigible, tant du point de vue médical que du point de vue des obligations familiales de l’épouse du recourant. Ce dernier a requis l’audition de la Dresse J______ et du Dr L______. Si la garantie constitutionnelle du droit d'être entendu confère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En l’espèce, les médecins ayant eu l’occasion de s’exprimer sur les éléments médicaux pertinents au moyen des rapports établis à la demande du recourant, leur audition s’avère superflue.</w:t>
      </w:r>
    </w:p>
    <w:p>
      <w:r>
        <w:rPr>
          <w:b/>
        </w:rPr>
        <w:t>E. 12</w:t>
      </w:r>
    </w:p>
    <w:p>
      <w:r>
        <w:t>Le recourant allègue encore que son épouse ne serait pas en mesure de trouver un emploi compte tenu du marché du travail. Sur ce point, le Tribunal fédéral a certes admis qu’après un long éloignement de la vie professionnelle, une intégration complète dans le marché du travail n’est plus possible après un certain âge (arrêt du Tribunal fédéral des assurances P 2/06 du 18 août 2006 consid. 1.2). Dans le cas d’une assurée de 50 ans au moment de la décision litigieuse, ne parlant pas la langue locale, qui n’avait jamais travaillé et ne disposait d’aucune formation, notre Haute Cour a retenu que la question du gain potentiel du conjoint d’un bénéficiaire de prestations complémentaires ne pouvait être résolue en recourant de manière schématique à des données statistiques ou des hypothèses fondées sur l’expérience générale, mais nécessitait de plus amples clarifications. Il y avait lieu d’examiner l’offre des emplois vacants appropriés et le nombre de personnes à la recherche d’un emploi dans le marché du travail local, par exemple en interpellant l’office cantonal de l’emploi (arrêt du Tribunal fédéral des assurances P 6/04 du 4 avril 2005 consid. 3.2.2). Ces circonstances ne sont cependant pas réalisées en l’espèce. Si l’épouse du recourant ne dispose effectivement pas de formation et n’a jamais travaillé, elle maîtrise le français et était âgée de 45 ans au moment de la décision litigieuse. Dans ces circonstances, on ne peut donc retenir que les perspectives de décrocher un emploi sans qualification à mi-temps sont si peu réalistes qu’on ne</w:t>
      </w:r>
    </w:p>
    <w:p>
      <w:r>
        <w:t>A/1826/2015 - 21/23 - peut tenir compte d’un gain potentiel que s’il apparaît possible au terme d’un examen approfondi du marché du travail. De plus, le Tribunal fédéral a relativisé l’exigence consistant à déterminer les possibilités concrètes de trouver un emploi sur le marché du travail en retenant qu’un tel examen ne doit pas avoir lieu lorsque le conjoint d’un assuré n’a entrepris aucune démarche pour trouver un emploi adapté, violant ainsi son obligation de diminuer le dommage – et ce même lorsque les prestations sont fixées de manière rétroactive (arrêt du Tribunal fédéral 9C_717/2010 du 26 janvier 2011 consid. 5.4). Le recourant a certes affirmé lors de son audition par la chambre de céans le 2 décembre 2015 que son épouse aurait démarché par téléphone de potentiels employeurs. On peut s’étonner de cette déclaration à ce stade de la procédure, le recourant ayant toujours fait valoir dans ses écritures que l’exercice d’une activité lucrative par son épouse était impossible au plan médical, et s’étant exclusivement référé aux difficultés générales que rencontrent les chômeurs de longue durée sur le marché du travail, sans jamais exposer les postulations concrètes et vaines de son épouse. Quoi qu’il en soit, même s’il fallait considérer comme établi que l’épouse du recourant a recherché un poste par téléphone, cela ne suffirait pas à faire abstraction d’un gain potentiel. En effet, un conjoint doit faire tous les efforts que l’on peut raisonnablement exiger de lui pour trouver un emploi. Il ne saurait en principe se contenter de simples offres téléphoniques dans la mesure où il est généralement admis que des offres écrites augmentent les chances de trouver un emploi. S’il n’est pas en mesure de le faire ou que d’une manière imparfaite, on pourra exiger qu’il ait recours à l’aide d’un proche ou du service social (Michel VALTERIO, Commentaire de la loi fédérale sur les prestations complémentaires à l'AVS et à l'AI, 2015, p. 193 n. 144 ad art. 11, cf. également arrêt du Tribunal fédéral 9C_946/2011 du 16 avril 2012 et les références). Le recourant soutient enfin qu’un gain potentiel ne saurait en toute hypothèse être pris en considération qu’après une période d’adaptation. Selon la jurisprudence, il faut certes octroyer au conjoint un délai de transition réaliste pour la prise exigible d'une activité lucrative ou l'augmentation du taux d'activité aussi bien lorsque des prestations sont en cours que dans le cadre d'une première demande de prestations complémentaires (arrêt du Tribunal fédéral 9C_630/2013 du 29 septembre 2015 consid. 5 publié in RSAS 2015 p. 61). Ce principe ne vaut toutefois pas lorsqu'au vu de l'obtention prévisible des prestations complémentaires par l'un des conjoints, en raison par exemple de l'accession à l'âge de la retraite AVS et de la cessation de l'activité lucrative, l'autre conjoint a disposé de suffisamment de temps pour une intégration professionnelle (ATF 142 V 12 consid. 5.4). En l’espèce, un tel délai d’adaptation a déjà été accordé à l’épouse du recourant en juillet 2002, et le gain potentiel retenu dans la décision litigieuse n’implique pas d’augmentation du temps de travail ou la prise d’une activité mieux rémunérée, de sorte que l’octroi d’un nouveau délai d’adaptation ne se justifie nullement.</w:t>
      </w:r>
    </w:p>
    <w:p>
      <w:r>
        <w:t>A/1826/2015 - 22/23 - Eu égard à ce qui précède, la décision de l’intimé doit être confirmée en tant qu’elle retient des gains potentiels correspondant à ceux définis par le Tribunal fédéral et le Tribunal pour l’épouse du recourant. En revanche, s’agissant de la période d’août 2012 à 2013, l’intimé a intégré dans les revenus déterminants un gain d’apprentissage. Bien que ce point ne fasse pas formellement l’objet des conclusions du recours, il s’agit d’un élément connexe au gain potentiel si bien que la chambre de céans est fondée à l’examiner. Ni le recourant ni son épouse n’ayant déployé d’activité lucrative, il s’agit selon toute vraisemblance des revenus réalisés par un des enfants du couple. Or, E______ et D______ ont été exclus du calcul des prestations dès lors que leurs revenus dépassaient leurs dépenses, conformément à l’art. 9 al. 4 LPC. L’intimé n’avait ainsi pas à tenir compte d’un tel gain dans ses calculs. La décision de l’intimée sera ainsi annulée sur ce point.</w:t>
      </w:r>
    </w:p>
    <w:p>
      <w:r>
        <w:rPr>
          <w:b/>
        </w:rPr>
        <w:t>E. 13</w:t>
      </w:r>
    </w:p>
    <w:p>
      <w:r>
        <w:t>Eu égard à ce qui précède, le recours est très partiellement admis. Le recourant a droit à des dépens, qu’il convient de fixer à CHF 800.- (art. 61 let. g LPGA). Pour le surplus, la procédure est gratuite (art. 61 let. a LPGA).</w:t>
      </w:r>
    </w:p>
    <w:p>
      <w:r>
        <w:t>A/1826/2015 - 23/23 -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