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ATAS/611/2020 vom 24. Juli 2020</w:t>
      </w:r>
    </w:p>
    <w:p>
      <w:r>
        <w:t>GE Cour de justice, 2020-07-24, FR</w:t>
      </w:r>
    </w:p>
    <w:p>
      <w:r>
        <w:rPr>
          <w:b/>
        </w:rPr>
        <w:t xml:space="preserve">Quelle: </w:t>
      </w:r>
      <w:r>
        <w:t>https://mcp.opencaselaw.ch/entscheid/ge_gerichte_ATAS_611_2020</w:t>
      </w:r>
    </w:p>
    <w:p>
      <w:r>
        <w:t>FR: GE_GERICHTE ATAS/611/2020 du 24 juillet 2020</w:t>
      </w:r>
    </w:p>
    <w:p>
      <w:r>
        <w:t>IT: GE_GERICHTE ATAS/611/2020 del 24 luglio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compte tenu de la suspension des délais pour la période du 15 juillet au 15 août inclusivement (art. 38 al. 4 let. b LPGA et art. 89C let. b LPA), le recours est recevable (art. 56 ss LPGA et 62 ss LPA).</w:t>
      </w:r>
    </w:p>
    <w:p>
      <w:r>
        <w:rPr>
          <w:b/>
        </w:rPr>
        <w:t>E. 3</w:t>
      </w:r>
    </w:p>
    <w:p>
      <w:r>
        <w:t>Le litige porte sur le droit de la recourante à une rente entière d’invalidité.</w:t>
      </w:r>
    </w:p>
    <w:p>
      <w:r>
        <w:rPr>
          <w:b/>
        </w:rPr>
        <w:t>E. 4</w:t>
      </w:r>
    </w:p>
    <w:p>
      <w:r>
        <w:t>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A/3183/2019 - 18/27 -</w:t>
      </w:r>
    </w:p>
    <w:p>
      <w:r>
        <w:rPr>
          <w:b/>
        </w:rPr>
        <w:t>E. 5</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w:t>
      </w:r>
    </w:p>
    <w:p>
      <w:r>
        <w:t>A/3183/2019 - 19/27 -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w:t>
      </w:r>
    </w:p>
    <w:p>
      <w:r>
        <w:t>A/3183/2019 - 20/27 - pour les mesures de réadaptation. Un comportement incohérent de l'assuré est là aussi un indice que la limitation fonctionnelle est due à d’autres raisons que l'atteinte à la santé assurée.</w:t>
      </w:r>
    </w:p>
    <w:p>
      <w:r>
        <w:rPr>
          <w:b/>
        </w:rPr>
        <w:t>E. 7</w:t>
      </w:r>
    </w:p>
    <w:p>
      <w:r>
        <w:t>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8</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w:t>
      </w:r>
    </w:p>
    <w:p>
      <w:r>
        <w:t>A/3183/2019 - 21/27 -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10</w:t>
      </w:r>
    </w:p>
    <w:p>
      <w:r>
        <w:t>Sans remettre en cause le principe de la libre appréciation des preuves, le Tribunal fédéral des assurances a posé des lignes directrices en ce qui concerne la manière d'apprécier certains types d'expertises ou de rapports médicaux.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A/3183/2019 - 22/27 -</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13</w:t>
      </w:r>
    </w:p>
    <w:p>
      <w:r>
        <w:t>Dans quelle mesure les traitements ont-ils été mis à profit ou négligés ?</w:t>
      </w:r>
    </w:p>
    <w:p>
      <w:r>
        <w:rPr>
          <w:b/>
        </w:rPr>
        <w:t>E. 14</w:t>
      </w:r>
    </w:p>
    <w:p>
      <w:r>
        <w:t>Les troubles psychiques constatés nécessitent-ils une prise en charge spécialisée ?</w:t>
      </w:r>
    </w:p>
    <w:p>
      <w:r>
        <w:rPr>
          <w:b/>
        </w:rPr>
        <w:t>E. 15</w:t>
      </w:r>
    </w:p>
    <w:p>
      <w:r>
        <w:t>Existe-t-il un trouble de la personnalité ou, une altération des capacités inhérentes à la personnalité ?</w:t>
      </w:r>
    </w:p>
    <w:p>
      <w:r>
        <w:rPr>
          <w:b/>
        </w:rPr>
        <w:t>E. 16</w:t>
      </w:r>
    </w:p>
    <w:p>
      <w:r>
        <w:t>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w:t>
      </w:r>
    </w:p>
    <w:p>
      <w:r>
        <w:rPr>
          <w:b/>
        </w:rPr>
        <w:t>E. 17</w:t>
      </w:r>
    </w:p>
    <w:p>
      <w:r>
        <w:t>De quelles ressources mobilisables l’assurée dispose-t-elle ?</w:t>
      </w:r>
    </w:p>
    <w:p>
      <w:r>
        <w:rPr>
          <w:b/>
        </w:rPr>
        <w:t>E. 18</w:t>
      </w:r>
    </w:p>
    <w:p>
      <w:r>
        <w:t>Quel est le contexte social ? L’assurée peut-elle compter sur le soutien de ses proches ?</w:t>
      </w:r>
    </w:p>
    <w:p>
      <w:r>
        <w:rPr>
          <w:b/>
        </w:rPr>
        <w:t>E. 19</w:t>
      </w:r>
    </w:p>
    <w:p>
      <w:r>
        <w:t>Pour le cas où il y aurait refus ou mauvaise acceptation d’une thérapie recommandée et accessible : cette attitude doit-elle être attribuée à une incapacité de l’assurée à reconnaître sa maladie ?</w:t>
      </w:r>
    </w:p>
    <w:p>
      <w:r>
        <w:rPr>
          <w:b/>
        </w:rPr>
        <w:t>E. 20</w:t>
      </w:r>
    </w:p>
    <w:p>
      <w:r>
        <w:t>Dans l’ensemble, le comportement de l’assurée vous semble-t-il cohérent ? Pourquoi ?</w:t>
      </w:r>
    </w:p>
    <w:p>
      <w:r>
        <w:rPr>
          <w:b/>
        </w:rPr>
        <w:t>E. 21</w:t>
      </w:r>
    </w:p>
    <w:p>
      <w:r>
        <w:t>Les limitations du niveau d’activité sont-elles uniformes dans tous les domaines (professionnel mais aussi personnel) ? Quel est le niveau d’activité sociale et comment a-t-il évolué depuis la survenance de l’atteinte à la santé ?</w:t>
      </w:r>
    </w:p>
    <w:p>
      <w:r>
        <w:rPr>
          <w:b/>
        </w:rPr>
        <w:t>E. 22</w:t>
      </w:r>
    </w:p>
    <w:p>
      <w:r>
        <w:t>Mentionner, pour chaque diagnostic posé, les limitations fonctionnelles qu’il entraîne a) dans l’activité habituelle, b) dans une activité adaptée.</w:t>
      </w:r>
    </w:p>
    <w:p>
      <w:r>
        <w:rPr>
          <w:b/>
        </w:rPr>
        <w:t>E. 23</w:t>
      </w:r>
    </w:p>
    <w:p>
      <w:r>
        <w:t>Mentionner globalement les conséquences des divers diagnostics retenus sur la capacité de travail de l’assurée, en pourcent, a) dans l’activité habituelle,</w:t>
      </w:r>
    </w:p>
    <w:p>
      <w:r>
        <w:t>A/3183/2019 - 27/27 - b) dans une activité adaptée.</w:t>
      </w:r>
    </w:p>
    <w:p>
      <w:r>
        <w:rPr>
          <w:b/>
        </w:rPr>
        <w:t>E. 24</w:t>
      </w:r>
    </w:p>
    <w:p>
      <w:r>
        <w:t>Dater la survenance de l’incapacité de travail durable, indiquer l'évolution de son taux et décrire son évolution.</w:t>
      </w:r>
    </w:p>
    <w:p>
      <w:r>
        <w:rPr>
          <w:b/>
        </w:rPr>
        <w:t>E. 25</w:t>
      </w:r>
    </w:p>
    <w:p>
      <w:r>
        <w:t>Évaluer la capacité de travail en pourcent dans une activité adaptée aux limitations fonctionnelles (en remontant jusqu’au 15 mars 1996,), indiquer depuis quand une telle activité est exigible et comment elle a évolué dans le temps.</w:t>
      </w:r>
    </w:p>
    <w:p>
      <w:r>
        <w:rPr>
          <w:b/>
        </w:rPr>
        <w:t>E. 26</w:t>
      </w:r>
    </w:p>
    <w:p>
      <w:r>
        <w:t>a) Dire s'il y a une diminution de rendement et la chiffrer. b) Si une diminution de rendement est retenue, celle-ci est-elle déjà incluse dans une éventuelle réduction de la capacité de travail ou vient-elle en sus ?</w:t>
      </w:r>
    </w:p>
    <w:p>
      <w:r>
        <w:rPr>
          <w:b/>
        </w:rPr>
        <w:t>E. 27</w:t>
      </w:r>
    </w:p>
    <w:p>
      <w:r>
        <w:t>Évaluer la possibilité d'améliorer la capacité de travail par des mesures médicales. Indiquer quelles seraient les propositions thérapeutiques et leur influence sur la capacité de travail.</w:t>
      </w:r>
    </w:p>
    <w:p>
      <w:r>
        <w:rPr>
          <w:b/>
        </w:rPr>
        <w:t>E. 28</w:t>
      </w:r>
    </w:p>
    <w:p>
      <w:r>
        <w:t>a) Êtes-vous d'accord avec le diagnostic et la capacité de travail retenus par le Dr K______ (rapport du 26 février 2019) ? pour quels motifs ? b) Êtes-vous d'accord le diagnostic et la capacité de travail retenus par la Dresse D______ (rapports des 8 août 2016 et 27 février 2018) ? pour quels motifs ?</w:t>
      </w:r>
    </w:p>
    <w:p>
      <w:r>
        <w:rPr>
          <w:b/>
        </w:rPr>
        <w:t>E. 29</w:t>
      </w:r>
    </w:p>
    <w:p>
      <w:r>
        <w:t>Formuler un pronostic global.</w:t>
      </w:r>
    </w:p>
    <w:p>
      <w:r>
        <w:rPr>
          <w:b/>
        </w:rPr>
        <w:t>E. 30</w:t>
      </w:r>
    </w:p>
    <w:p>
      <w:r>
        <w:t>Faire toute remarque utile et proposition utile. 5. Invite l’expert à déposer, dans les meilleurs délais, un rapport en trois exemplaires à la chambre de céans.</w:t>
      </w:r>
    </w:p>
    <w:p>
      <w:r>
        <w:t>La greffière</w:t>
      </w:r>
    </w:p>
    <w:p>
      <w:r>
        <w:t>Isabelle CASTILLO</w:t>
      </w:r>
    </w:p>
    <w:p>
      <w:r>
        <w:t>La présidente</w:t>
      </w:r>
    </w:p>
    <w:p>
      <w:r>
        <w:t>Catherine TAPPONNIER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