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ATAS/611/2018 vom 28. Juni 2018</w:t>
      </w:r>
    </w:p>
    <w:p>
      <w:r>
        <w:t>GE Cour de justice, 2018-06-28, FR</w:t>
      </w:r>
    </w:p>
    <w:p>
      <w:r>
        <w:rPr>
          <w:b/>
        </w:rPr>
        <w:t xml:space="preserve">Quelle: </w:t>
      </w:r>
      <w:r>
        <w:t>https://mcp.opencaselaw.ch/entscheid/ge_gerichte_ATAS_611_2018</w:t>
      </w:r>
    </w:p>
    <w:p>
      <w:r>
        <w:t>FR: GE_GERICHTE ATAS/611/2018 du 28 juin 2018</w:t>
      </w:r>
    </w:p>
    <w:p>
      <w:r>
        <w:t>IT: GE_GERICHTE ATAS/611/2018 del 28 giugno 2018</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La LPGA, entrée en vigueur le 1er janvier 2003, a entraîné la modification de nombreuses dispositions légales dans le domaine des assurances sociales, mais ces modifications légales constituent, en règle générale, une version formalisée dans la loi de la jurisprudence relative aux notions correspondantes avant l'entrée en</w:t>
      </w:r>
    </w:p>
    <w:p>
      <w:r>
        <w:t>A/3795/2017 - 7/11 - vigueur de la LPGA; il n'en découle aucune modification du point de vue de leur contenu, de sorte que la jurisprudence développée à leur propos peut être reprise et appliquée (ATF 130 V 343 consid. 3).</w:t>
      </w:r>
    </w:p>
    <w:p>
      <w:r>
        <w:rPr>
          <w:b/>
        </w:rPr>
        <w:t>E. 3</w:t>
      </w:r>
    </w:p>
    <w:p>
      <w:r>
        <w:t>Interjeté dans les forme et délai prévus par la loi, le recours est recevable.</w:t>
      </w:r>
    </w:p>
    <w:p>
      <w:r>
        <w:rPr>
          <w:b/>
        </w:rPr>
        <w:t>E. 4</w:t>
      </w:r>
    </w:p>
    <w:p>
      <w:r>
        <w:t>Le litige porte sur la question de savoir si l'activité exercée par l’intéressé dans les locaux de la recourante durant deux mois à compter du 1er janvier 2017 doit être qualifiée de dépendante ou d’indépendante.</w:t>
      </w:r>
    </w:p>
    <w:p>
      <w:r>
        <w:rPr>
          <w:b/>
        </w:rPr>
        <w:t>E. 5</w:t>
      </w:r>
    </w:p>
    <w:p>
      <w:r>
        <w:t>Les assurés sont tenus de payer des cotisations tant qu'ils exercent une activité lucrative (art. 3 al. 1 1ère phrase LAVS). L'obligation de payer des cotisations dépendant notamment de la qualification du revenu touché. D'après l'art. 5 al. 2 LAVS, on considère comme salaire déterminant toute rétribution pour un travail dépendant effectué dans un temps déterminé ou indéterminé; quant au revenu provenant d'une activité indépendante, il comprend tout revenu du travail autre que la rémunération pour un travail accompli dans une situation dépendante (art. 9 al. 1 LAVS). Conformément à l'art. 12 al. 1 LAVS, est considéré comme employeur quiconque verse à des personnes obligatoirement assurées une rémunération au sens de l’art. 5 al. 2 LAVS. Tout employeur ayant un établissement stable en Suisse ou occupant dans son ménage des personnes obligatoirement assurées est tenu de payer des cotisations (art. 12 al. 2 LAVS). Est réputé salarié celui qui fournit un travail dépendant et qui reçoit pour ce travail un salaire déterminant au sens des lois spéciales (art. 10 LPGA). Est considéré comme exerçant une activité lucrative indépendante celui dont le revenu ne provient pas de l’exercice d’une activité en tant que salarié. Une personne exerçant une activité lucrative indépendante peut simultanément avoir la qualité de salarié si elle reçoit un salaire correspondant (art. 12 LPGA). Cette disposition n'entraîne aucune dérogation aux dispositions spéciales et correspond à la jurisprudence développée en relation avec l'art. 9 LAVS (ATF du</w:t>
      </w:r>
    </w:p>
    <w:p>
      <w:r>
        <w:rPr>
          <w:b/>
        </w:rPr>
        <w:t>E. 10</w:t>
      </w:r>
    </w:p>
    <w:p>
      <w:r>
        <w:t>avril 2006, H 2/06, consid. 4.4). 6. Selon la jurisprudence, la question de savoir si l'on a affaire, dans un cas donné, à une activité indépendante ou salariée ne doit pas être tranchée d'après la nature juridique du rapport contractuel entre les partenaires. Ce sont bien plutôt les circonstances économiques qui sont déterminantes. Les rapports de droit civil peuvent certes fournir quelques indices pour la qualification en matière d'AVS, mais n'ont pas une portée décisive. Est réputé salarié, d'une manière générale, celui qui dépend d'un employeur quant à l'organisation du travail et du point de vue de l'économie de l'entreprise et ne supporte pas le risque économique couru par l'entrepreneur. Ces principes ne conduisent cependant pas à eux seuls à des solutions uniformes, applicables</w:t>
      </w:r>
    </w:p>
    <w:p>
      <w:r>
        <w:t>A/3795/2017 - 8/11 - schématiquement. Souvent, on trouve des caractéristiques se rapportant aussi bien à une activité lucrative dépendante qu'indépendante et la question doit alors être tranchée au regard des éléments prépondérants (ATF du 14 février 2007, H 19/06, consid. 3.1 ; ATF 123 V 161 consid. 1 p. 162).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l'obligation de ce dernier d'exécuter personnellement la tâche qui lui est confiée (RCC 1989 p. 111 consid. 5a). Un autre élément permettant de qualifier la rétribution compte tenu du lien de dépendance de celui qui la perçoit est le fait qu'il s'agit d'une collaboration régulière, autrement dit que l'employé est régulièrement tenu de fournir ses prestations au même employeur (ATF du 10 janvier 2005, H 334/03, consid. 6.2.1). En outre, la possibilité pour le travailleur d'organiser son horaire de travail ne signifie pas nécessairement qu'il s'agit d'une activité indépendante (ATF du 19 mai 2006, H 23/05, consid. 2.3). Le risque économique encouru par l'entrepreneur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(SCARTAZZINI, in GREBER/DUC/SCARTAZZINI, Commentaire des art. 1 à 16 de la loi fédérale sur l'assurance-vieillesse et survivants, Bâle, 1997, n. 111 ad art. 5 LAVS). Cependant, le critère du risque économique de l'entrepreneur n'est pas à lui seul déterminant pour juger du caractère dépendant ou indépendant d'une activité. C'est l'ensemble des circonstances du cas concret qui permet de déterminer si on est en présence d'une activité dépendante ou indépendante, en particulier la nature et l'étendue de la dépendance économique et organisationnelle à l'égard du mandant ou de l'employeur. Cet aspect peut singulièrement parler en faveur d'une activité dépendante dans les situations dans lesquelles l'activité en question n'exige pas, de par sa nature, des investissements importants ou de faire appel à du personnel. En pareilles circonstances, il convient d'accorder moins d'importance au critère du risque économique de l'entrepreneur et davantage à celui de l'indépendance économique et organisationnelle (arrêt du Tribunal fédéral 9C_364/2013 du 23 septembre 2013, consid. 2.2). Par ailleurs, le fait que l'activité soit principale ou accessoire n'est pas déterminant, la rétribution à qualifier doit être considérée pour elle-même, d'après la situation dans laquelle se trouve la personne considérée au moment où elle acquiert cette rétribution. Certaines rétributions peuvent être du salaire déterminant pour une</w:t>
      </w:r>
    </w:p>
    <w:p>
      <w:r>
        <w:t>A/3795/2017 - 9/11 - personne dont la profession principale consiste en l'exercice d'une activité indépendante (VSI 1995 p. 27 et 144).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du 3 avril 2006, U 202/05, consid. 2.1 ; ATF 126 V 353 consid. 5b). 8. En l’espèce, il est vrai que l’on trouve tant des éléments plaidant en faveur d’une activité salariée que d’une activité indépendante. Certes, l’intéressé dit avoir également dispensé des cours à des clients non adhérents à la recourante. En ce cas, cependant, il s’est rendu à leur domicile. Jamais il n’a amené de clients externes dans les locaux de la recourante, même s’il dit qu’il aurait pu théoriquement le faire. Il a démarché personnellement des clients, mais l’a aussi fait par le biais de l’infrastructure mise à disposition par la recourante et a suivi les « recommandations » de celle-ci quant à la fixation du tarif horaire. Il avait l’obligation de fournir un nombre - certes limité - d’heures d’entrainement aux clients de la recourante et ne pouvait pour ce faire se faire remplacer par quelqu’un de son choix, mais devait aviser la société en cas d’indisponibilité. Le recourant n’a pas eu à engager de frais importants. De son propre aveu, il n’a pas même eu à verser à la recourante le montant convenu de 250.- CHF/mois. Enfin et surtout, l’intéressé s’est engagé contractuellement envers la recourante à proposer des entrainements à ses adhérents (art. 1 du contrat), à exercer son activité en son sein sous le nom de la société (art. 2 du contrat), à fournir des présentations gratuites, à réaliser des programme pour le club, à participer aux évènements publicitaires de la recourante (art. 2 du contrat), ses vêtements et cartes de visite étaient fournis par la société (art. 2 du contrat). Il s’est engagé à exercer « en gardant l’intérêt de la société à l’esprit », à travailler sous le nom de cette dernière et à l’aviser de ses absences et vacances (art. 4 du contrat). Les prix étaient fixés, selon le contrat, par la recourante, à laquelle devait être soumise toute modification pour approbation (art. 6 du contrat). Si les clauses de ce contrat ne correspondent pas à la réelle volonté de la recourante, comme elle le soutient, il lui appartient de les modifier. En l’état, force est de constater que l’intéressé s’était bel et bien engagé envers elle selon les termes rappelés supra. Au vu de l’ensemble des circonstances, les éléments parlant en faveur d’une activité salariée l’emportent. Dès lors, c’est à bon droit que l’intimée l’a qualifiée de telle.</w:t>
      </w:r>
    </w:p>
    <w:p>
      <w:r>
        <w:t>A/3795/2017 - 10/11 - Eu égard aux considérations qui précèdent, le recours est rejeté.</w:t>
      </w:r>
    </w:p>
    <w:p>
      <w:r>
        <w:t>***</w:t>
      </w:r>
    </w:p>
    <w:p>
      <w:r>
        <w:t>A/3795/2017 - 11/11 -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