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ATAS/611/2011 vom 8. Juni 2011</w:t>
      </w:r>
    </w:p>
    <w:p>
      <w:r>
        <w:t>GE Cour de justice, 2011-06-08, FR</w:t>
      </w:r>
    </w:p>
    <w:p>
      <w:r>
        <w:rPr>
          <w:b/>
        </w:rPr>
        <w:t xml:space="preserve">Quelle: </w:t>
      </w:r>
      <w:r>
        <w:t>https://mcp.opencaselaw.ch/entscheid/ge_gerichte_ATAS_611_2011</w:t>
      </w:r>
    </w:p>
    <w:p>
      <w:r>
        <w:t>FR: GE_GERICHTE ATAS/611/2011 du 8 juin 2011</w:t>
      </w:r>
    </w:p>
    <w:p>
      <w:r>
        <w:t>IT: GE_GERICHTE ATAS/611/2011 del 8 giugno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et notamment dans le droit de l'assurance-invalidité. Du point de vue temporel, le point de savoir quel droit s’applique doit être tranché à la lumière du principe selon lequel les règles applicables sont celles en vigueur au moment où les faits juridiquement déterminants se sont produits (ATF 130 V 229 consid. 1.1; 335 consid. 1.2; ATF 129 V 4 consid. 1.2; ATF 127 V 467 consid. 1; ATF 126 V 136 consid. 4b et les références). Il y a lieu de rappeler à cet égard que les définitions de</w:t>
      </w:r>
    </w:p>
    <w:p>
      <w:r>
        <w:t>A/2905/2010 - 8/14 -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 130 V 343). En l'espèce, la décision litigieuse datant du 28 juin 2010, est postérieure à l'entrée en vigueur de la LPGA ainsi qu'à l'entrée en vigueur, le 1er janvier 2004 et le 1er janvier 2008, des modifications de la loi fédérale sur l'assurance-invalidité du 21 mars 2003 et du 6 octobre 2006 (4ème et 5ème révisions), les faits pertinents remontant à 2008. Par conséquent, du point de vue matériel, le droit éventuel à une rente d'invalidité doit être examiné au regard des nouvelles normes de la LPGA et des modifications de la LAI consécutives à la 4ème et la 5ème révisions de cette loi, dans la mesure de leur pertinence (ATF 130 V 445 et les références; voir également ATF 130 V 329). En revanche, en ce qui concerne les règles de procédure, et à défaut de règles transitoires contraires, le nouveau droit s'applique sans réserve dès le jour de son entrée en vigueur (ATF 117 V 71 consid. 6b; 112 V 360 consid. 4a; RAMA 1998 KV 37 p. 316 consid. 3b).</w:t>
      </w:r>
    </w:p>
    <w:p>
      <w:r>
        <w:rPr>
          <w:b/>
        </w:rPr>
        <w:t>E. 3</w:t>
      </w:r>
    </w:p>
    <w:p>
      <w:r>
        <w:t>Interjeté dans les forme et délai prescrits par la loi, le recours est recevable (art. 56 et 60 LPGA).</w:t>
      </w:r>
    </w:p>
    <w:p>
      <w:r>
        <w:rPr>
          <w:b/>
        </w:rPr>
        <w:t>E. 3.3</w:t>
      </w:r>
    </w:p>
    <w:p>
      <w:r>
        <w:t>et les références).</w:t>
      </w:r>
    </w:p>
    <w:p>
      <w:r>
        <w:rPr>
          <w:b/>
        </w:rPr>
        <w:t>E. 4</w:t>
      </w:r>
    </w:p>
    <w:p>
      <w:r>
        <w:t>A titre liminaire, il convient de relever que si la recourante avait dans un premier temps déclaré retirer son recours après avoir pris connaissance de la réponse du Dr O __________ du 1er février 2011, tel n'a plus été le cas à réception du dernier courrier des HUG daté du 24 février 2011, reçu par la Cour de céans le 2 mars 2011, dans la mesure où le Dr O __________ revenait sur ses précédentes explications. Par conséquent, la Cour de céans entrera en matière sur le présent recours.</w:t>
      </w:r>
    </w:p>
    <w:p>
      <w:r>
        <w:rPr>
          <w:b/>
        </w:rPr>
        <w:t>E. 5</w:t>
      </w:r>
    </w:p>
    <w:p>
      <w:r>
        <w:t>Le litige porte sur le droit de la recourante à des prestations de l'assurance- invalidité, singulièrement sur son degré d'invalidité.</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L'invalidité est réputée survenue, selon l’art. 4 al. 2 LAI, en sa teneur en vigueur dès le 1er janvier 2008, dès qu’elle est, par sa nature et sa gravité, propre à ouvrir</w:t>
      </w:r>
    </w:p>
    <w:p>
      <w:r>
        <w:t>A/2905/2010 - 9/14 -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b) En vertu de l’art. 28 al. 1er LAI dans sa teneur en vigueur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 invalidité du 17 janvier 1961 (RAI ; RS 831.201)). L’art. 28 al. 2 LAI dispose que l’assuré a droit à une rente entière s’il est invalide à 70% au moins, à trois quarts de rente s’il est invalide à 60% au moins, à une demi-rente s’il est invalide à 50% au moins ou à un quart de rente s’il est invalide à 40% au moins. c) La 5ème révision a modifié les règles relatives à la naissance du droit à la rente. En effet, selon l’art. 29 al. 1 LPGA, pour autant que les conditions du droit soient réunies (art. 28 al. 1 LAI), le droit à la rente prend naissance au plus tôt à l’échéance d’une période de six mois à compter de la date à laquelle l’assuré a fait valoir son droit aux prestations. Cette disposition s'applique si le cas d'assurance survient postérieurement au 1er janvier 2008. Si le cas d'assurance se produit avant le 1er janvier 2008, c'est l'ancien droit qui s'applique. L'article 29 al. 1 nLAI ne s'applique toutefois pas si le délai d'attente a commencé à courir avant le 1er janvier 2008 et a échu dans l'année 2008, ce pour autant que la demande de prestations a été déposée jusqu'au 31 décembre 2008 au plus tard (cf. Lettre-circulaire n° 253 de l’OFAS, du 12 décembre 2007 : La 5ème révision de l’AI et le droit transitoire).</w:t>
      </w:r>
    </w:p>
    <w:p>
      <w:r>
        <w:rPr>
          <w:b/>
        </w:rPr>
        <w:t>E. 7</w:t>
      </w:r>
    </w:p>
    <w:p>
      <w:r>
        <w:t>Chez les assurés actifs, le degré d'invalidité doit être évalué sur la base d'une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 sa teneur en vigueur dès le 1er janvier 2008).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384 consid. 3.4, 128 V 30</w:t>
      </w:r>
    </w:p>
    <w:p>
      <w:r>
        <w:t>A/2905/2010 - 10/14 - consid. 1, 104 V 136 consid. 2a et 2b).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En vertu de l'art. 28a al. 3 LAI, teneur en vigueur dès le 1er janvier 2008, lorsque l'assuré exerce une activité lucrative à temps partiel, l'invalidité pour cette activité est évaluée selon l'art. 16 LPGA. S'il accomplit ses travaux habituels, l'invalidité est fixée selon l'al. 2 pour cette activité-là. Dans ce cas, les parts respectives de l'activité lucrative et de l'accomplissement des travaux habituels sont déterminées; le taux d'invalidité est calculé d'après le handicap dont la personne est affectée dans les deux domaines d'activité (méthode mixte d'évaluation de l'invalidité). Ainsi, il faut évaluer d'une part l'invalidité dans les travaux habituels par comparaison des activités (art. 27 RAI) et d'autre part l'invalidité dans une activité lucrative par comparaison des revenus (art. 28 al. 3 LAI); on pourra alors déterminer l'invalidité globale d'après le temps consacré à ces deux champs d'activité. La part de l'activité professionnelle dans l'ensemble des travaux de l'assuré est déterminée en comparant l'horaire de travail usuel dans la profession en question et l'horaire accompli par l'assuré valide; on calcule donc le rapport en pour-cent entre ces deux valeurs. La part des travaux habituels constitue le reste du pourcentage (ATF 130 V 395 consid.</w:t>
      </w:r>
    </w:p>
    <w:p>
      <w:r>
        <w:rPr>
          <w:b/>
        </w:rPr>
        <w:t>E. 8</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w:t>
      </w:r>
    </w:p>
    <w:p>
      <w:r>
        <w:t>A/2905/2010 - 11/14 - plaintes exprimées, qu’il ait été établi en pleine connaissance du dossier (anamnèse), que la description du contexte médical soit claire et enfin que les conclusions de l’expert soient bien motivées (ATF 122 V 160 consid. 1c et les références, 351 consid. 3). L’élément déterminant pour la valeur probante n’est en principe ni l’origine du moyen de preuve, ni sa désignation, sous la forme d’un rapport ou d’une expertise, mais bel et bien son contenu (ATF 122 précité ; OMLIN, Die Invaliditätsbemessung in der obligatorischen Unfallversicherung p. 297 ss). Sans remettre en cause le principe de la libre appréciation des preuves, le TF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Aussi,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9</w:t>
      </w:r>
    </w:p>
    <w:p>
      <w:r>
        <w:t>En l'espèce, il résulte des rapports médicaux figurant au dossier que la recourante a été victime d'une arthrite septique suite à une piqûre par épine de rose au dos de la 3ème articulation métacarpo-phalangienne de la main droite, ayant entraîné une incapacité de travail totale dès le 5 mai 2008. L'évolution post opératoire à court terme a été défavorable et marquée par des complications, avec suspicion d'une algoneurodystrophie et installation d'un syndrome douloureux du membre supérieur droit. La recourante a été opérée en 2003 à l'épaule droite et présente une épaule douloureuse, limitée fonctionnellement. La Dresse M__________ a diagnostiqué encore un probable TOS. Enfin, le 28 mai 2009, la recourante a été opérée d'un</w:t>
      </w:r>
    </w:p>
    <w:p>
      <w:r>
        <w:t>A/2905/2010 - 12/14 - tunnel carpien à gauche. S'agissant des limitations fonctionnelles, la recourante doit éviter tout travail avec les bras au-dessus de la tête, de soulever et de porter des charges, de monter sur une échelle ou un échafaudage. Concernant la capacité de travail, la Dresse M__________ indique qu'au moment de son expertise, elle devrait être progressivement de 100 % dans l'activité de gouvernante, en ne tenant compte que de l'étiologie accidentelle. Selon le Dr N __________, l'incapacité de travail est de 75 % (cf. rapport du 26 février 2010), de 50 % par rapport à un plein temps, voire un 50 % du taux d'activité effectif dans l'activité de gouvernante (cf. rapports contradictoires des Drs O __________ et P __________, des 23 juillet 2010, 1er février 2011 et 24 février 2011). Le SMR s'est fondé sur les conclusions du rapport d'expertise de la Dresse M__________ pour conclure à une capacité de travail de 100 % dans son activtié habituelle de gouvernante, dès le 1er mai 2010. Or, d'une part, la capacité de travail de 100 % n'est que progressive, d'autre part, l'évaluation de la capacité de travail faite par l'experte ne tient compte que de la problématique liée à l'accident, comme elle le dit expressément. Elle ne tient pas compte des autres atteintes présentées par la recourante, tel que l'épaule douloureuse pour laquelle l'avis d'un orthopédiste est indispensable et le probable TOS, qui contribuent certainement au syndrome douloureux. Enfin, le pronostic reste réservé. L'intimé ne pouvait par conséquent pas se fonder sur la seule appréciation faite par la Dresse M__________, qui n'est pertinente que pour l'assureur-accidents. Pour le surplus, les avis médicaux concernant la capacité de travail de la recourante sont contradictoires et une appréciation fondée sur l'ensemble des atteintes à la santé de la recourante fait défaut. Il convient en particulier d'investiguer le problème de l'épaule et le TOS, afin de déterminer quelles sont les conséquences de l'ensemble des atteintes à la santé sur la capacité de travail de la recourante. Enfin, si l'atteinte à la santé implique des limitations fonctionnelles, une enquête ménagère s'avère indispensable, dans la mesure où la part d'activité ménagère représente 69 %. Il s'ensuit qu'en l'état actuel du dossier, la Cour de céans n'est pas à même de se prononcer de manière définitive sur la capacité de travail dès le 1er mai 2010. La cause sera renvoyée à l'intimé pour instruction complémentaire sous forme d'une expertise pluridisciplinaire, le cas échéant d'une enquête ménagère, et nouvelle décision.</w:t>
      </w:r>
    </w:p>
    <w:p>
      <w:r>
        <w:rPr>
          <w:b/>
        </w:rPr>
        <w:t>E. 10</w:t>
      </w:r>
    </w:p>
    <w:p>
      <w:r>
        <w:t>Au vu de ce qui précède, le recours est partiellement admis.</w:t>
      </w:r>
    </w:p>
    <w:p>
      <w:r>
        <w:rPr>
          <w:b/>
        </w:rPr>
        <w:t>E. 11</w:t>
      </w:r>
    </w:p>
    <w:p>
      <w:r>
        <w:t>La recourante a droit à une indemnité à tire de participation à ses frais et dépens, fixée en l'occurrence à 1'800 fr. (art. 89H al. 3 LPA).</w:t>
      </w:r>
    </w:p>
    <w:p>
      <w:r>
        <w:t>A/2905/2010 - 13/14 -</w:t>
      </w:r>
    </w:p>
    <w:p>
      <w:r>
        <w:rPr>
          <w:b/>
        </w:rPr>
        <w:t>E. 12</w:t>
      </w:r>
    </w:p>
    <w:p>
      <w:r>
        <w:t>L'émolument, arrêté à 500 fr., est mis à la charge de l'intimé (cf. art. 69 al.1bis LAI).</w:t>
      </w:r>
    </w:p>
    <w:p>
      <w:r>
        <w:t>A/2905/2010 - 14/14 -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