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ATAS/611/2007 vom 29. Mai 2007</w:t>
      </w:r>
    </w:p>
    <w:p>
      <w:r>
        <w:t>GE Cour de justice, 2007-05-29, FR</w:t>
      </w:r>
    </w:p>
    <w:p>
      <w:r>
        <w:rPr>
          <w:b/>
        </w:rPr>
        <w:t xml:space="preserve">Quelle: </w:t>
      </w:r>
      <w:r>
        <w:t>https://mcp.opencaselaw.ch/entscheid/ge_gerichte_ATAS_611_2007</w:t>
      </w:r>
    </w:p>
    <w:p>
      <w:r>
        <w:t>FR: GE_GERICHTE ATAS/611/2007 du 29 mai 2007</w:t>
      </w:r>
    </w:p>
    <w:p>
      <w:r>
        <w:t>IT: GE_GERICHTE ATAS/611/2007 del 29 maggio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w:t>
      </w:r>
    </w:p>
    <w:p>
      <w:r>
        <w:t>A/343/2007 - 5/11 -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13 décembre 2006 mais statuant sur un état de fait juridiquement déterminant remontant à l'année 2002, le présent litige sera dès lors examiné à la lumière des dispositions de la LAI et de son règlement en vigueur jusqu'au 31 décembre 2002. Les dispositions légales seront citées dans leur ancienne teneur. Enfin, s'agissant des modifications de la LAI du 21 mars 2003, entrées en vigueur le 1er janvier 2004, elles seront citées dans la mesure de leur pertinence. En ce qui concerne la procédure et à défaut de règles transitoires contraires, la LPGA et son ordonnance d'application s'appliquent sans réserve dès le jour de leur entrée en vigueur (ATF 117 V 93 consid. 6b; 112 V 360 consid. 4a; RAMA 1998 KV 37 p. 316 consid. 3b).</w:t>
      </w:r>
    </w:p>
    <w:p>
      <w:r>
        <w:rPr>
          <w:b/>
        </w:rPr>
        <w:t>E. 3</w:t>
      </w:r>
    </w:p>
    <w:p>
      <w:r>
        <w:t>Déposé dans les forme et délai prévus par la loi, le présent recours est recevable (art. 60 LPGA).</w:t>
      </w:r>
    </w:p>
    <w:p>
      <w:r>
        <w:rPr>
          <w:b/>
        </w:rPr>
        <w:t>E. 4</w:t>
      </w:r>
    </w:p>
    <w:p>
      <w:r>
        <w:t>Le litige porte sur le droit de l'assurée à une rente AI.</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t>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w:t>
      </w:r>
    </w:p>
    <w:p>
      <w:r>
        <w:rPr>
          <w:b/>
        </w:rPr>
        <w:t>E. 6</w:t>
      </w:r>
    </w:p>
    <w:p>
      <w:r>
        <w:t>En l'espèce, l'assurée souffre de cervicobrachialgie C6 droite sur hernie discale C5- C6. Il n'est pas contesté que l'activité exercée jusqu'ici n'est plus exigible. Tant le médecin traitant que le Dr A__________ ont en revanche considéré qu'une activité de bureau, de réceptionniste ou de caissière était envisageable, étant précisé que</w:t>
      </w:r>
    </w:p>
    <w:p>
      <w:r>
        <w:t>A/343/2007 - 6/11 - l'usage répété des membres supérieurs et le port de charges devaient être évités. Ils ont estimé que la capacité de travail était d'environ 75%.</w:t>
      </w:r>
    </w:p>
    <w:p>
      <w:r>
        <w:t>Dès lors, force est de constater qu'en retenant une incapacité de travail de 50%, l'OCAI a interprété, plutôt favorablement, les conclusions des Drs A__________ et B__________.</w:t>
      </w:r>
    </w:p>
    <w:p>
      <w:r>
        <w:rPr>
          <w:b/>
        </w:rPr>
        <w:t>E. 6.1</w:t>
      </w:r>
    </w:p>
    <w:p>
      <w:r>
        <w:t>et les références citées). En l'espèce, les pièces médicales versées au dossier permettent de statuer en pleine connaissance de cause sur le présent litige, si bien que la mise en œuvre d'une expertise supplémentaire s'avère superflue par appréciation anticipée des preuves. En conséquence, il n'y a pas lieu de donner suite à la demande d'instruction complémentaire formée par l'assurée.</w:t>
      </w:r>
    </w:p>
    <w:p>
      <w:r>
        <w:rPr>
          <w:b/>
        </w:rPr>
        <w:t>E. 7</w:t>
      </w:r>
    </w:p>
    <w:p>
      <w:r>
        <w:t>L'assurée a sollicité du Tribunal de céans qu'il ordonne une expertise rhumatologique.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w:t>
      </w:r>
    </w:p>
    <w:p>
      <w:r>
        <w:rPr>
          <w:b/>
        </w:rPr>
        <w:t>E. 8</w:t>
      </w:r>
    </w:p>
    <w:p>
      <w:r>
        <w:t>Il y a lieu de constater que le Dr C__________ a posé le diagnostic de fibromyalgie, de même que le Dr A__________ en mai 2005. Le Dr E__________ l'a également envisagé.</w:t>
      </w:r>
    </w:p>
    <w:p>
      <w:r>
        <w:rPr>
          <w:b/>
        </w:rPr>
        <w:t>E. 9</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w:t>
      </w:r>
    </w:p>
    <w:p>
      <w:r>
        <w:t>A/343/2007 - 7/11 -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w:t>
      </w:r>
    </w:p>
    <w:p>
      <w:r>
        <w:t>A/343/2007 - 8/11 - et de mesures de réhabilitation, cela en dépit de la motivation et des efforts de la personne assurée pour surmonter les effets des troubles somatoformes douloureux (VSI 2000 p. 155 consid. 2c; ATF 130 V 352 consid. 2.2.3 in fine; MEYER- 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w:t>
      </w:r>
    </w:p>
    <w:p>
      <w:r>
        <w:t>A/343/2007 - 9/11 -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11</w:t>
      </w:r>
    </w:p>
    <w:p>
      <w:r>
        <w:t>On ajoutera encore que dans un arrêt récent ayant trait à la fibromyalgie - diagnostic retenu par les médecins qui se sont prononcés sur l'état de santé de la recourante -,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70 consid. 4.1).</w:t>
      </w:r>
    </w:p>
    <w:p>
      <w:r>
        <w:rPr>
          <w:b/>
        </w:rPr>
        <w:t>E. 12</w:t>
      </w:r>
    </w:p>
    <w:p>
      <w:r>
        <w:t>Quoi qu'il en soit, et même si l'on retenait que l'assurée souffrait de fibromyalgie, ce diagnostic ne suffirait pas pour justifier un droit à une rente d'invalidité. En l'absence d'une comorbidité psychiatrique grave, il y a en effet lieu d'examiner si l'assurée réunit plusieurs des critères établis par la jurisprudence en sa personne de manière suffisamment marquée, ce qui fonderait un pronostic défavorable en ce qui concerne l'exigibilité d'une reprise d'activité professionnelle à plein temps. Or tel n'est pas le cas. Il ressort des déclarations de l'assurée qu'elle ne subit pas une perte d'intégration sociale dans toutes les manifestations de la vie (2) (cf. procès-verbal de comparution personnelle du 15 mai 2007). On ne saurait parler dans son cas d'un</w:t>
      </w:r>
    </w:p>
    <w:p>
      <w:r>
        <w:t>A/343/2007 - 10/11 - état psychique cristallisé, l'épisode dépressif moyen dont elle souffre en 2005 étant en rémission depuis la fin de l'été 2006, ni d'échecs de traitements, bien au contraire (3 et 4). Il apparaît ainsi que l'assurée n'a pas épuisé toutes ses ressources adaptatives. Au vu de ce qui précède, force est de constater que les troubles dépressifs ne se manifestent pas avec une telle sévérité que, d'un point de vue objectif, ils excluent toute mise en valeur de sa capacité de travail. Au contraire, il y a lieu d'admettre le caractère exigible d'un effort de volonté de sa part en vue de surmonter la douleur et de se réinsérer dans un processus de travail. Il s'ensuit que le recours, mal fondé, doit être rejeté.</w:t>
      </w:r>
    </w:p>
    <w:p>
      <w:r>
        <w:t>A/343/2007 - 11/11 -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