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ATAS/610/2015 vom 19. August 2015</w:t>
      </w:r>
    </w:p>
    <w:p>
      <w:r>
        <w:t>GE Cour de justice, 2015-08-19, FR</w:t>
      </w:r>
    </w:p>
    <w:p>
      <w:r>
        <w:rPr>
          <w:b/>
        </w:rPr>
        <w:t xml:space="preserve">Quelle: </w:t>
      </w:r>
      <w:r>
        <w:t>https://mcp.opencaselaw.ch/entscheid/ge_gerichte_ATAS_610_2015</w:t>
      </w:r>
    </w:p>
    <w:p>
      <w:r>
        <w:t>FR: GE_GERICHTE ATAS/610/2015 du 19 août 2015</w:t>
      </w:r>
    </w:p>
    <w:p>
      <w:r>
        <w:t>IT: GE_GERICHTE ATAS/610/2015 del 19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28 juillet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Interjeté dans les formes et délais prévus par la loi (art. 56 ss LPGA), le recours est recevable.</w:t>
      </w:r>
    </w:p>
    <w:p>
      <w:r>
        <w:t>A/2767/2014 - 18/29 -</w:t>
      </w:r>
    </w:p>
    <w:p>
      <w:r>
        <w:rPr>
          <w:b/>
        </w:rPr>
        <w:t>E. 4</w:t>
      </w:r>
    </w:p>
    <w:p>
      <w:r>
        <w:t>Le litige porte sur le point de savoir si c'est à bon droit que, par décision du 28 juillet 2014, l'intimé a octroyé une rente entière d'invalidité à la recourante du 1er novembre 2010 au 31 août 2011, singulièrement si c'est à juste titre que l'intimé a nié le droit à une rente d'invalidité au-delà du 31 août 2011.</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w:t>
      </w:r>
    </w:p>
    <w:p>
      <w:r>
        <w:t>A/2767/2014 - 19/29 - remis en cause (ATF 125 V 413 consid. 2d p. 417, confirmé in ATF 131 V 164 consid. 2.3.3 p. 166 et ATF 135 V 141 consid. 1.4.4 p. 146; voir également arrêt I.99/00 du 26 octobre 2000 consid. 1, in VSI 2001 p. 155).</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A/2767/2014 - 20/29 -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A/2767/2014 - 21/29 - ne saurait les écarter aussi longtemps qu'aucun indice concret ne permet de douter de leur bien-fondé (ATF 125 V 351 consid. 3b/bb). c.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 du Tribunal fédéral 9C_58172007 du 14 juillet 2008 consid. 3.2 ; arrêt du Tribunal fédéral 9C_341/2007 du 16 novembre 2007 consid. 4.1).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A/2767/2014 - 22/29 -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9</w:t>
      </w:r>
    </w:p>
    <w:p>
      <w:r>
        <w:t>En cas d'allocation d'une rente dégressive ou temporaire, la date de la modification du droit (diminution ou suppression de la rente) doit être fixée conformément à l'art. 88a al. 1 du règlement du 17 janvier 1961 sur l’assurance-invalidité (RAI – RS 831.201 ; ATF 125 V 417 consid. 2d ; RCC 1984 p. 137).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A l'inverse,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Selon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1er let. b LAI, celle qui a précédé le premier octroi. En revanche, l'article 88bis al. 2 let. a RAI n'est pas applicable dans cette éventualité, du moment que l'on n'est pas en présence d'une révision de la rente au sens strict (VSI 2001 p. 158 consid. 3c; RCC 1983 p. 489 consid. 2b; ATF 106 V 16).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Lorsque le juge des assurances sociales constate qu'une instruction est nécessaire, il doit en principe mettre lui-même en œuvre une expertise lorsqu'il considère que</w:t>
      </w:r>
    </w:p>
    <w:p>
      <w:r>
        <w:t>A/2767/2014 - 23/29 - l'état de fait médical doit être élucidé par une expertise ou que l'expertise administrative n'a pas de valeur probante (ATF 137 V 210 consid. 4.4.1.3 et 4.4.1.4). Cela étant, un renvoi à l'administration pour mise en œuvre d'une nouvelle expertise reste possible, notamment lorsqu'une telle mesure est nécessaire en raison du fait que l'administration n'a pas instruit du tout un point médical ou lorsqu’il s’agit d’un éclaircissement ou d’une précision ou d’un complément d’une expertise (ATF 137 V 210 consid. 4.4.1.4 in fine et les références).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U.316/2006 du 6 juillet 2007 consid. 3.1.1). En particulier, elle doit mettre en œuvre une expertise lorsqu’il apparaît nécessaire de clarifier les aspects médicaux du cas (arrêt du Tribunal fédéral des assurances I.751/03 du 19 mars 2004 consid. 3.3).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c'est sur la base des rapports de la Dresse B______ des 26 octobre 2011 et 12 mars 2013, ainsi que sur l'avis du SMR du 28 mai 2013 que l'intimé a retenu que la recourante avait droit à une rente entière d'invalidité du 1er novembre 2010 au 31 août 2011. Le diagnostic retenu par l'experte ayant une répercussion sur la capacité de travail de la recourante est un status après décompensation d'un trouble dépendant de la personnalité, état actuellement stabilisé (F60.7). Les diagnostics sans répercussion sur la capacité de travail sont un tableau de processus d'invalidation (F68.0), des difficultés d'adaptation à une nouvelle étape de vie (Z60.0), des difficultés dans les rapports avec le conjoint (Z63.0), un syndrome de dépendance au tabac, utilisation continue (F17.35), une anamnèse d'anxiété avec notions de phobie sociale voire d'agoraphobie (F41.1, F40.0). Par rapport à la décompensation observée par la</w:t>
      </w:r>
    </w:p>
    <w:p>
      <w:r>
        <w:t>A/2767/2014 - 24/29 - Dresse B______ en 2010, le trouble dépendant de la personnalité de la recourante est à présent recompensé et stabilisé, son état de santé psychiatrique ne s'est pas aggravé depuis 2011. Le Dr E______ ayant admis un état stationnaire depuis le 31 mai 2011, cette date est compatible avec la stabilisation observée par l'experte. A partir de juin 2011, la recourante présente donc une capacité de travail totale dans une activité adaptée, du type de celle exercée auparavant (nettoyeuse), mais hors des heures d'affluence, en équipe restreinte et auprès d'un autre employeur que son époux. Ces limitations n'empêchent pas l'exercice de l'activité à plein temps, sans diminution de rendement. La recourante conteste la valeur probante des rapports de l'experte, motif pris que le Dr E______ a attesté de ce que l'état de son santé ne s'est pas amélioré et son incapacité de travail est totale dans toute activité au-delà du 31 mai 2011. Selon le psychiatre traitant, les diagnostics avec répercussion sur la capacité de travail sont, en juin 2012, un trouble anxieux généralisé (F41.1), une phobie sociale (F40.1), une agoraphobie (F40.0) et un trouble dépendant de la personnalité (F60.7), puis, en septembre 2012, un trouble mixte de la personnalité évoluant négativement (F61.0), un épisode dépressif (F32.1) et une agoraphobie (F40.0) stationnaires depuis 2011 et, en octobre 2014, une agoraphobie invalidante (F40.0), une anxiété généralisée (F41.1), un épisode dépressif moyen (F32.1) et un trouble de la personnalité dépendante (F61.0). Dès lors, il s'agit d'analyser la valeur probante des expertises susmentionnées et d'examiner si le Dr E______ émet des opinions contraires aptes à mettre sérieusement en doute les déductions et conclusions. La chambre de céans constate que dans ses deux rapports, la Dresse B______ a pris connaissance du dossier constitué par l'intimé, ainsi que de sa précédente expertise réalisée en 2010 préalablement au dépôt de la demande de rente d'invalidité, elle- même établie sur la base d'un examen clinique et d'un contact avec le médecin traitant (Dr C______). L'experte a en outre interrogé la recourante sur ses plaintes, a résumé son historique médical et détaillé son anamnèse. L'experte s'est entretenue avec le psychiatre traitant (Dr E______), lequel lui reproche toutefois de lui prêter en partie des propos qu'il ne reconnaît pas. Par ailleurs, il sied de relever que pour chaque rapport, les diagnostics posés par la Dresse B______ l'ont été à l'issue d'un seul examen clinique. D'abord, l'experte explique que le trouble de la personnalité dépendante de la recourante est « recompensé » et que son état de santé psychiatrique ne s'est pas aggravé depuis 2011. Or, il est le lieu de préciser que la notion de stabilisation n'implique pas encore que l'état de santé se soit amélioré. Force est d'ailleurs de constater qu'à aucun moment, la Dresse B______ n'emploie le terme d'amélioration pour décrire l'état de santé de la recourante, ni en 2011 ni en 2013. Par ailleurs, il ne ressort pas clairement des expertises susmentionnées quels sont les éléments qui permettent à l'experte de déduire de cette stabilisation le recouvrement d'une capacité totale de travail. En effet, l'experte admet que la situation de la recourante</w:t>
      </w:r>
    </w:p>
    <w:p>
      <w:r>
        <w:t>A/2767/2014 - 25/29 - est inchangée, tout en observant une stabilisation avec consolidation des plaintes et relevant que la recourante s'est positionnée dans un processus d'invalidation, de sorte qu'elle présente les capacités d'exécuter ses tâches ménagères et de reprendre une activité lucrative à plein temps; le fait qu'elle ne sorte pas seule de chez elle est un élément culturel qui a toujours été respecté. La Dresse B______ se contente ainsi d'affirmer que c'est la recompensation qui permet à la recourante de recouvrer une entière capacité de travail, sans toutefois expliquer en quoi cette stabilisation de son état de santé le lui permet, qui plus est sans aucune diminution de rendement. Au demeurant, la recourante conteste expressément le fait de n'être jamais sortie seule de chez elle par le passé. Ensuite, à différents égards, la chambre de céans relève des propos confus et incohérents de la part de l'experte. En effet, à la question de savoir comment ont évolué les incapacités de travail justifiées médicalement dans son activité habituelle, la Dresse B______ a répondu qu'à partir de début juin 2011, la recourante a présenté une exigibilité professionnelle totale sur le plan psychiatrique dans une « activité adaptée ». Quant à savoir quelle était la capacité de travail exigible dans l'activité habituelle, l'experte a expliqué que comme la recourante avait précédemment travaillé dans les nettoyages, le service et les commandes pour la salle de jeu de son époux, elle pouvait reprendre un poste dans les nettoyages, auprès d'un nouvel employeur. La capacité de travail exigible dans une activité strictement adaptée aux limitations fonctionnelles était de 100% depuis juin 2011 et l'activité de nettoyeuse était strictement adaptée aux limitations fonctionnelles, pour autant qu'elle soit exercée dans des locaux dans lesquels l'assurée puisse travailler en équipe restreinte et hors des heures d'affluence (rapport 2013). Force est toutefois de constater qu'il ressort une imprécision de ce qui précède, en ce sens que la Dresse B______ paraît réduire l'activité habituelle de la recourante à celle de nettoyeuse, alors qu'en tant qu'employée polyvalente, son activité habituelle consistait également à assurer le service et la gestion des commandes. De plus, la chambre de céans relève que si selon l'experte les limitations fonctionnelles (équipe restreinte, hors des heures d'affluence) n'empêchent pas une activité à plein temps, par exemple en tant que nettoyeuse, il paraît douteux qu'une telle activité limitée aux heures de faible affluence soit compatible avec une activité exercée à plein temps. Cas échéant, il appartiendrait au service de réadaptation de l'intimé de déterminer si la capacité de travail de la recourante dans l'activité adaptée pourrait être mise en valeur sur le marché du travail dans l'activité à plein temps, eu égard aux limitations temporelles. Par ailleurs, dans son rapport de 2010, l'experte a retenu les diagnostics d'anxiété et de phobie sociale associée (F41.1, F40.1), sans répercussion sur la capacité de travail, et a conclu à une incapacité de travail totale de la recourante, en raison de la décompensation du trouble de la personnalité dépendante (F60.7). Selon elle, la décompensation du trouble de la personnalité dépendante avait pour conséquence une anxiété généralisée et une phobie sociale, notamment. Ces diagnostics sont</w:t>
      </w:r>
    </w:p>
    <w:p>
      <w:r>
        <w:t>A/2767/2014 - 26/29 - toujours présents en 2011 (F41.1, F40) et 2013 (F41.1, F40.0), toujours sans répercussion sur la capacité de travail. Or, il n'apparaît pas clairement pourquoi les diagnostics précités ne présentent pas de caractère incapacitant, alors qu'ils constituent pourtant des éléments de la décompensation du trouble de la personnalité dépendante. L'experte affirme même que le diagnostic du syndrome anxio-dépressif sévère, tel que retenu par le Dr C______, est en accord avec ses observations, de même que les diagnostics de troubles mixtes de la personnalité, d'épisode dépressif moyen et de troubles anxieux phobiques sont également en accord avec ses observations (rapport 2011). Quoi qu'il en soit, l'experte n'indique pas les motifs pour lesquels ces diagnostics ne sont pas incapacitants. Le Dr E______ s'étonne en outre de ce que la Dresse B______ ne retienne pas les diagnostics d'agoraphobie et d'anxiété généralisée, puisque toutes les composantes ressortent des expertises. De la même manière, il relève qu'elle retient plusieurs éléments de la lignée dépressive (anhédonie, image de soi dégradée) sans pourtant en retenir le diagnostic. En effet, force est de constater que l'experte retient plusieurs épisodes de pleurs (rapport 2011), des signes de dépression, au sens des classifications internationales (atteinte légère), une thymie globalement morose ainsi qu'une aboulie et qu'elle a en outre relevé des éléments phobiques qui prennent un caractère sélectif (rapport 2013). L'experte relève que les signes de dépression sont minimes et que la composante anxieuse est latente et chronique (rapport 2011). Quoi qu'il en soit, la Dresse B______ n'indique pas clairement et de manière circonstanciée les raisons qui lui font placer les diagnostics précités dans la catégorie de ceux n'ayant pas de répercussion sur la capacité de travail. Tout au plus observe-t-elle, lorsque la recourante annonce souffrir d'oppression thoracique en lien avec la présence de quelques personnes dans la salle d'attente, que sa fréquence respiratoire n'est pas accélérée et qu'aucun signe neurovégétatif n'est perçu. Ces constatations ne sauraient toutefois suffire à écarter le sentiment d'oppression thoracique tel que décrit par la recourante. Enfin, le Dr E______ fait grief à l'experte de ne pas avoir utilisé de tests neuropsychologiques pour rejeter l'absence de troubles de la concentration, ni d'échelle empirique pour apprécier l'intensité des troubles (Hamilton); il reproche également à l'experte son manque d'investigation du cours de la pensée. A cet égard, force est d'admettre que l'experte a relevé, tant en 2011 que 2013, que la recourante présentait des difficultés à se souvenir des dates, sans pour autant investiguer ces aspects. Par conséquent, il apparaît douteux que la Dresse B______ écarte, dès 2011, ses conclusions de 2010, en dépit du fait que la recourante présente apparemment les mêmes symptômes qu'auparavant – cela d'autant qu'à aucun moment, l'experte ne parle d'amélioration de son état de santé, mais seulement de stabilisation – alors que le psychiatre traitant, lui, parle même d'une aggravation de ce dernier. Certes, les rapports du Dr E______ sont peu documentés et comportent des imprécisions. Cela étant, il ressort de ce qui précède suffisamment d'éléments susceptibles de mettre en</w:t>
      </w:r>
    </w:p>
    <w:p>
      <w:r>
        <w:t>A/2767/2014 - 27/29 - doute les conclusions de l'experte. Rappelons à cet égard que le Dr E______ indique n'avoir jamais affirmé, contrairement à ce que prétend la Dresse B______, que les troubles anxieux sont présents depuis de nombreuses années, argument qui semble être utilisé par l'experte pour justifier leur caractère non invalidant. Confuses et peu étayées, les conclusions de la Dresse B______ laissent ainsi subsister des doutes quant à l'évolution de l'état de santé psychiatrique de la recourante depuis 2010, respectivement sur les répercussions de cette évolution sur sa capacité de travail, de sorte qu'elles n'emportent pas la conviction de la chambre de céans. Quant à l'avis du SMR du 28 mai 2013, il fait siennes les conclusions de l'experte sans apporter d'élément nouveau, de sorte qu'il n'est pas déterminant. Au vu de ce qui précède, la chambre de céans retient que les expertises de la Dresse B______ ne peuvent se voir attribuer une pleine valeur probante. En particulier, il ne ressort pas des rapports en quoi l'état de santé de la recourante s'est amélioré au point de recouvrer une capacité de travail totale. Il n’est, en l’état actuel du dossier, pas possible de tirer des conclusions définitives sur le plan psychiatrique.</w:t>
      </w:r>
    </w:p>
    <w:p>
      <w:r>
        <w:rPr>
          <w:b/>
        </w:rPr>
        <w:t>E. 13</w:t>
      </w:r>
    </w:p>
    <w:p>
      <w:r>
        <w:t>Enfin du point de vue somatique, la chambre de céans constate que l'intimé n'a pas examiné les pièces que la recourante lui avait pourtant communiquées, à savoir les rapports d'IRM réalisées en septembre 2012 et juin 2013 par les Drs D______ et F______, lesquelles mentionnent de nombreux diagnostics, dont une rupture partielle du ligament croisé antérieur et une tendinopathie rotulienne proximale du genou gauche, une lésion ostéochondrale au niveau de la partie antérieure du versant astragalien de l'articulation sous-astragalienne gauche associée à une augmentation de l'œdème spongieux de voisinage et une importante gonarthrose fémoro-tibiale interne au genou droit. De surcroît, en 2010 déjà, le Dr C______ avait indiqué, comme diagnostic avec répercussion sur la capacité de travail de la recourante, des lombalgies sur canal lombaire étroit et hernie L4-L5 présentes depuis 2006. Or, ces aspects n'ont pas été pris en compte par l'intimé dans sa décision du 28 juillet 2014, puisqu'il s'est contenté d'affirmer que l'atteinte à la santé n'influençait pas la capacité de travail dans un poste adapté. Le dossier n'ayant toutefois pas été instruit à cet égard, il y a lieu de le renvoyer à l'intimé, afin qu'un expert indépendant évalue si les atteintes somatiques précitées ont une répercussion sur la capacité de travail de la recourante. Il convient encore de rappeler que toutes les atteintes à la santé doivent être prises en compte pour évaluer l’invalidité de la recourante.</w:t>
      </w:r>
    </w:p>
    <w:p>
      <w:r>
        <w:rPr>
          <w:b/>
        </w:rPr>
        <w:t>E. 14</w:t>
      </w:r>
    </w:p>
    <w:p>
      <w:r>
        <w:t>Au vu de ce qui précède, le recours sera partiellement admis, la décision litigieuse annulée et la cause renvoyée à l'intimé, à charge pour celui-ci de mettre en œuvre une expertise bi-disciplinaire comportant un volet psychiatrique et un volet somatique, auprès d'experts indépendants (cf. art. 44 LPGA). Cela fait, l'intimé</w:t>
      </w:r>
    </w:p>
    <w:p>
      <w:r>
        <w:t>A/2767/2014 - 28/29 - procédera au calcul du degré d'invalidité présenté par la recourante dès le 31 août 2011, puis rendra une nouvelle décision.</w:t>
      </w:r>
    </w:p>
    <w:p>
      <w:r>
        <w:rPr>
          <w:b/>
        </w:rPr>
        <w:t>E. 15</w:t>
      </w:r>
    </w:p>
    <w:p>
      <w:r>
        <w:t>Selon l'art. 61 let. g LPGA, le recourant qui obtient gain de cause a droit au remboursement de ses frais et dépens dans la mesure fixée par le tribunal; leur montant est déterminé sans égard à la valeur litigieuse d'après l'importance et la complexité du litige. En l'espèce, la recourante n'a pas conclu à l'allocation de dépens. Des dépens peuvent cependant être alloués à une partie sans conclusion expresse dans ce sens (ATF 118 V 139 consid. 3). En l’espèce, l’indemnité due à ce titre à la recourante, qui obtient gain de cause, sera fixée à CHF 2'500.- (art. 61 let. g LPGA; art. 89H al. 3 loi sur la procédure administrative du 12 septembre 1985 [LPA-GE – E 5 10] et art. 6 du Règlement sur les frais, émoluments et indemnités en procédure administrative du 30 juillet 1986 [RFPA – E 5 10.03]).</w:t>
      </w:r>
    </w:p>
    <w:p>
      <w:r>
        <w:rPr>
          <w:b/>
        </w:rPr>
        <w:t>E. 16</w:t>
      </w:r>
    </w:p>
    <w:p>
      <w:r>
        <w:t>Au vu de l'issue du litige, un émolument de CHF 500.- est mis à la charge de l'intimé (art. 69 al. 1bis LAI ; art. 89H al. 4 LPA-GE).</w:t>
      </w:r>
    </w:p>
    <w:p>
      <w:r>
        <w:t>A/2767/2014 - 29/29 -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