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ATAS/610/2012 vom 9. Mai 2012</w:t>
      </w:r>
    </w:p>
    <w:p>
      <w:r>
        <w:t>GE Cour de justice, 2012-05-09, FR</w:t>
      </w:r>
    </w:p>
    <w:p>
      <w:r>
        <w:rPr>
          <w:b/>
        </w:rPr>
        <w:t xml:space="preserve">Quelle: </w:t>
      </w:r>
      <w:r>
        <w:t>https://mcp.opencaselaw.ch/entscheid/ge_gerichte_ATAS_610_2012</w:t>
      </w:r>
    </w:p>
    <w:p>
      <w:r>
        <w:t>FR: GE_GERICHTE ATAS/610/2012 du 9 mai 2012</w:t>
      </w:r>
    </w:p>
    <w:p>
      <w:r>
        <w:t>IT: GE_GERICHTE ATAS/610/2012 del 9 maggio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En vertu de l’art. 1er al. 1 et 2 LACI, les dispositions de la LPGA, à l’exclusion de ses art. 21 et 24 al. 1er, s’appliquent à l’assurance-chômage obligatoire et à l’indemnité en cas d’insolvabilité.</w:t>
      </w:r>
    </w:p>
    <w:p>
      <w:r>
        <w:rPr>
          <w:b/>
        </w:rPr>
        <w:t>E. 3</w:t>
      </w:r>
    </w:p>
    <w:p>
      <w:r>
        <w:t>Interjeté dans les forme et délai prescrits par la loi, le recours est recevable (art. 38 et art. 56 ss LPGA).</w:t>
      </w:r>
    </w:p>
    <w:p>
      <w:r>
        <w:rPr>
          <w:b/>
        </w:rPr>
        <w:t>E. 4</w:t>
      </w:r>
    </w:p>
    <w:p>
      <w:r>
        <w:t>L'objet du litige porte sur le droit de l’assurée aux indemnités de l'assurance- chômage dès le mois d'avril 2011.</w:t>
      </w:r>
    </w:p>
    <w:p>
      <w:r>
        <w:rPr>
          <w:b/>
        </w:rPr>
        <w:t>E. 5</w:t>
      </w:r>
    </w:p>
    <w:p>
      <w:r>
        <w:t>En vertu de l’art. 8 al. 1er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w:t>
      </w:r>
    </w:p>
    <w:p>
      <w:r>
        <w:t>A/34/2012 - 6/9 - relatives à la période de cotisation ou en est libéré (let. e), s’il est apte au placement (let. f) et s’il satisfait aux exigences du contrôle (let. g). Ces conditions sont cumulatives (ATF 124 V 215 consid. 2).</w:t>
      </w:r>
    </w:p>
    <w:p>
      <w:r>
        <w:rPr>
          <w:b/>
        </w:rPr>
        <w:t>E. 6</w:t>
      </w:r>
    </w:p>
    <w:p>
      <w:r>
        <w:t>L’art. 13 al. 1er LACI dispose que celui qui, dans les limites du délai-cadre prévu à cet effet (art. 9 al. 3), a exercé durant douze mois au moins une activité soumise à cotisation remplit les conditions relatives à la période de cotisation. Selon l’alinéa 2 de cette disposition, compte également comme période de cotisation le temps durant lequel l’assuré exerce une activité en qualité de travailleur sans avoir atteint l’âge à partir duquel il est tenu de payer les cotisations AVS (let. a), sert dans l’armée, dans le service civil ou dans la protection civile conformément au droit suisse ou accomplit un cours obligatoire d’économie familiale qui a lieu pendant toute la journée et durant au moins trois semaines sans discontinuer (let. b), est partie à un rapport de travail, mais ne touche pas de salaire parce qu’il est malade (art. 3 LPGA) ou victime d’un accident (art. 4 LPGA) et, partant, ne paie pas de cotisations (let. c), ou a interrompu son travail pour cause de maternité (art. 5 LPGA) dans la mesure où ces absences sont prescrites par les dispositions de protection des travailleurs ou sont conformes aux clauses des conventions collectives de travail (let. d).</w:t>
      </w:r>
    </w:p>
    <w:p>
      <w:r>
        <w:rPr>
          <w:b/>
        </w:rPr>
        <w:t>E. 7</w:t>
      </w:r>
    </w:p>
    <w:p>
      <w:r>
        <w:t>L’art. 14 al. 1er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 Sont également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 (art. 14 al. 2 LACI). Le but de l'art. 14 al. 2 LACI est de faire en sorte que la personne à laquelle vient à manquer le soutien financier incombant à son conjoint ne tombe pas dans le besoin (SVR 2000 ALV n°15 p. 42 consid. 6b). Son application suppose donc un lien de causalité entre le motif de libération et la nécessité de prendre ou d'augmenter une activité lucrative dépendante. Le législateur a considéré que ce lien de causalité ne</w:t>
      </w:r>
    </w:p>
    <w:p>
      <w:r>
        <w:t>A/34/2012 - 7/9 - pouvait plus être établi au au-delà d'un certain laps de temps. Ce qui est déterminant, c'est la soudaineté de la nécessité de reprendre une activité lucrative et le fait que l'entrée dans la vie active ou la réintégration de celle-ci n'avait pas été prévue (Boris RUBIN, Assurance-chômage, Droit fédéral, Survol des mesures cantonales, Procédure, 2ème éd., Zurich 2006, n° 3.8.8.3.1, p. 192). Il ne doit pas s'agir d'un lien de causalité strict au sens scientifique du terme, un tel lien ne pouvant être démontré. On doit raisonnablement admettre un rapport de causalité lorsqu'il est vraisemblable et plausible que la décision de l'assuré de reprendre une activité lucrative est dictée par la survenance de l'événement en question (ATF 131 V 279, consid. 2.4). Ce qui est décisif, c'est que la personne directement concernée ou son conjoint se trouve à la suite d'un événement déterminé dans une situation de contrainte économique (ATF 121 V 336, consid. 5c/aa). Aussi la notion de "raisons semblables" n'a-t-elle pas été précisée afin de laisser à cette disposition la souplesse requise par la diversité des situations de l'existence. Un motif de libération peut aussi être invoqué en cas de séparation de fait (ATF non publié 8C_610/2009 du 28 juillet 2010, consid. 4). En revanche, le lien de causalité entre une séparation et la nécessité économique de travailler doit être niée lorsque la personne avait la volonté de prendre un emploi avant l'événement libératoire (ATFA non publié C 50/00 du 4 septembre 2000, consid. 3b et les références).</w:t>
      </w:r>
    </w:p>
    <w:p>
      <w:r>
        <w:rPr>
          <w:b/>
        </w:rPr>
        <w:t>E. 8</w:t>
      </w:r>
    </w:p>
    <w:p>
      <w:r>
        <w:t>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p. 195; ATF 117 V 261, consid. 3b).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 t-il pas, en droit des assurances sociales, un principe selon lequel l'administration ou le juge devrait statuer, dans le doute, en faveur de l'assuré et le défaut de preuve va au détriment de la partie qui entendait tirer un droit du fait non prouvé (ATF 126 V 319, consid. 5a; ATFA non publié I 339/03 du 19 novembre 2003, consid. 2).</w:t>
      </w:r>
    </w:p>
    <w:p>
      <w:r>
        <w:t>A/34/2012 - 8/9 -</w:t>
      </w:r>
    </w:p>
    <w:p>
      <w:r>
        <w:rPr>
          <w:b/>
        </w:rPr>
        <w:t>E. 9</w:t>
      </w:r>
    </w:p>
    <w:p>
      <w:r>
        <w:t>En l’espèce, même s’il fallait admettre comme l’allègue la recourante que l'existence d'un motif de libération doit être examinée en référence à la séparation judiciaire prononcée en novembre 2010 et non à la séparation de fait survenue en décembre 2002, force est de constater à la lumière de la jurisprudence citée que le jugement du 30 novembre 2010 n’est pas à l’origine de sa volonté de retrouver une activité lucrative. La recourante s’est en effet mise à disposition du marché du travail en juin 2002 - soit avant même la séparation de fait d’avec son époux - jusqu’en 2007 en tout cas, date à laquelle son droit à des indemnités de l'assurance- chômage a pris fin. Son intention de trouver un emploi est ainsi antérieure à l'officialisation de sa séparation, si bien qu'un lien de causalité entre ces deux éléments est exclu. Il convient par surabondance de souligner que la recourante n’a nullement démontré que la condition de la contrainte économique, qui doit être remplie pour qu’un assuré soit libéré des conditions relatives à la période de cotisation, était réalisée dans son cas, bien que l’intimée l’ait à plusieurs reprises invitée à produire les pièces nécessaires à l’examen de cette condition. A cet égard, on ne peut suivre la recourante lorsqu’elle affirme avoir coopéré à l’instruction. S’agissant des déclarations consignées par l’intimée, on pouvait raisonnablement attendre de la recourante qu’elle réagisse à la réception du courrier du 28 septembre 2011 en signalant l’inexactitude de certains des éléments qui y étaient mentionnés. En ce qui concerne la difficulté à réunir les informations nécessaires pour l’examen de sa demande d’indemnités, plusieurs des documents requis par l’intimée pouvaient être obtenus sans la collaboration de son époux, par exemple ses déclarations fiscales, la copie du bail du studio qu’elle occupait avant de se voir attribuer le domicile conjugal et des déclarations de sa part sur les contributions d’entretien perçues avant le jugement du 30 novembre 2011. Enfin, la recourante n’a pas non plus démontré – par exemple en fournissant des extraits de ses comptes bancaires – que son mari ne versait pas régulièrement la contribution d’entretien due selon le jugement du 30 novembre 2011. Elle ne prétend pas non plus qu’un nouveau jugement aurait baissé le montant de la pension à la suite du licenciement allégué de son époux. Or, si la perte de soutien économique, par exemple en raison de la cessation du versement d’une contribution d’entretien, doit être considérée comme une "raison semblable" au sens de la loi, il incombe à l’assuré, pour se prévaloir de la condition de libération, d’apporter la preuve qu’il n’est pas en mesure d’obtenir de son conjoint qu’il remplisse ses obligations (ATFA non publié C 365/00 du 7 décembre 2001, consid. 2b). Sur ce point également, la recourante n’a fourni aucun élément permettant d'étayer ses déclarations.</w:t>
      </w:r>
    </w:p>
    <w:p>
      <w:r>
        <w:rPr>
          <w:b/>
        </w:rPr>
        <w:t>E. 10</w:t>
      </w:r>
    </w:p>
    <w:p>
      <w:r>
        <w:t>Eu égard à ce qui précède, la décision de l’intimée doit être confirmée. Pour le surplus, la procédure est gratuite (art. 61 let. a LPGA).</w:t>
      </w:r>
    </w:p>
    <w:p>
      <w:r>
        <w:t>A/34/2012 - 9/9 -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