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ATAS/610/2008 vom 27. Mai 2008</w:t>
      </w:r>
    </w:p>
    <w:p>
      <w:r>
        <w:t>GE Cour de justice, 2008-05-27, FR</w:t>
      </w:r>
    </w:p>
    <w:p>
      <w:r>
        <w:rPr>
          <w:b/>
        </w:rPr>
        <w:t xml:space="preserve">Quelle: </w:t>
      </w:r>
      <w:r>
        <w:t>https://mcp.opencaselaw.ch/entscheid/ge_gerichte_ATAS_610_2008</w:t>
      </w:r>
    </w:p>
    <w:p>
      <w:r>
        <w:t>FR: GE_GERICHTE ATAS/610/2008 du 27 mai 2008</w:t>
      </w:r>
    </w:p>
    <w:p>
      <w:r>
        <w:t>IT: GE_GERICHTE ATAS/610/2008 del 27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Déposé dans les formes et délai prévus par la loi, le présent recours est recevable (art. 60 LPGA).</w:t>
      </w:r>
    </w:p>
    <w:p>
      <w:r>
        <w:rPr>
          <w:b/>
        </w:rPr>
        <w:t>E. 4</w:t>
      </w:r>
    </w:p>
    <w:p>
      <w:r>
        <w:t>Le litige porte sur le point de savoir si les atteintes à la santé dont souffre la recourante ouvrent droit à des prestations de l'assurance-invalidité.</w:t>
      </w:r>
    </w:p>
    <w:p>
      <w:r>
        <w:rPr>
          <w:b/>
        </w:rPr>
        <w:t>E. 5</w:t>
      </w:r>
    </w:p>
    <w:p>
      <w:r>
        <w:t>a) Aux termes de l'art. 8 al. 1 et 3 LPGA, est réputée invalidité l’incapacité de gain totale ou partielle qui est présumée permanente ou de longue durée. Les assurés</w:t>
      </w:r>
    </w:p>
    <w:p>
      <w:r>
        <w:t>A/307/2008 - 6/10 - majeurs qui n’exerçaient pas d’activité lucrative avant d’être atteints dans leur santé physique, mentale ou psychique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6</w:t>
      </w:r>
    </w:p>
    <w:p>
      <w:r>
        <w:t>a)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ATF 130 V 348 consid. 3.4, 128 V 30 consid. 1, 104 V</w:t>
      </w:r>
    </w:p>
    <w:p>
      <w:r>
        <w:t>A/307/2008 - 7/10 - 136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avec certaines déductions,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b) Selon l'art. 28 al. 2 bis LAI, l'invalidité des assurés qui n'exercent pas d'activité lucrative et dont on ne peut raisonnablement exiger qu'ils en entreprennent une est évaluée, en dérogation à l'art. 16 LPGA, en fonction de l'incapacité d'accomplir leurs travaux habituels.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ATFA non publiés du 6 septembre 2004, I 249/04, consid. 5.1.1; du 26 juillet 2004, I 155/04, consid. 3.2; du 28 février 2003, I 685/02, consid. 3.2). c) Aux termes de l'art. 28 al. 2 ter LAI, lorsque les assurés n'exercent une activité lucrative qu'à temps partiel ou apportent une collaboration non rémunérée à</w:t>
      </w:r>
    </w:p>
    <w:p>
      <w:r>
        <w:t>A/307/2008 - 8/10 - l'entreprise de leur conjoint, l'invalidité pour cette part est évaluée selon l'art. 16 LPGA. S'ils se consacrent en outre à leurs travaux habituels, au sens de l'art. 8 al. 3 LPGA, l'invalidité est fixée selon l'alinéa 2bis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Ainsi, il faut évaluer d’une part l’invalidité dans les travaux habituels par comparaison des activités (art. 27 du règlement de l'assurance-invalidité du 17 janvier 1961 - RAI) et d’autre part l’invalidité dans une activité lucrative par comparaison des revenus (art. 28 al. 2 LAI) ;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 on calcule donc le rapport en pour-cent entre ces deux valeurs. La part des travaux habituels constitue le reste du pourcentage (ATF 130 V 395 consid. 3.3 et les références, 104 V 136 consid. 2a).</w:t>
      </w:r>
    </w:p>
    <w:p>
      <w:r>
        <w:rPr>
          <w:b/>
        </w:rPr>
        <w:t>E. 7</w:t>
      </w:r>
    </w:p>
    <w:p>
      <w:r>
        <w:t>En l'espèce, la recourante reconnaît avoir une capacité résiduelle de travail dans son activité professionnelle de concierge, comme dans toute autre activité adaptée, de 50 %. Cette capacité résiduelle résulte en effet du rapport complet de SMR, et rejoint les conclusions du rhumatologue. Par conséquent, on ne peut suivre la recourante lorsqu'elle entreprend de comparer les gains en se fondant sur les statistiques. En effet, il ressort du dossier que l'activité lucrative de la recourante s'exerçait à raison de 43 %. Puisqu'elle est capable d'exécuter cette tâche à hauteur de 50 %, aucun calcul ne se justifie, car sa capacité de travail reste entière par rapport au taux d'activité qu'elle avait l'habitude d'avoir, avant l'atteinte à la santé. Les allégations de la recourante selon lesquelles elle aurait exécuté des tâches de couturière à raison de 100% sans problèmes de santé ne sont étayées par aucun élément voire contredites par les faits puisque la recourante n'a jamais exercé ce métier mais uniquement celui de concierge. S'agissant de l'invalidité ménagère, force est de constater que rien ne permet de suivre la recourante dans son argumentation. En particulier pas la jurisprudence fédérale, constante en la matière, et rappelée ci-dessus. En outre, les conclusions de l'enquêtrice ne sont pas contestées en tant que telles. Celle-ci a d'ailleurs motivé le pourcentage retenu à titre d'empêchement en comparant systématiquement pour chaque poste, 'activité que la recourante pouvait effectuer avant l'atteinte à la santé et celle qu'elle effectue depuis. Rien ne justifie dès lors de s'écarter des conclusions de l'enquête. Il s’agit dès lors de procéder à l’évaluation du taux d’invalidité global au moyen de la méthode mixte d’évaluation ; ce taux se détermine à l’aide de la formule suivante (cf. CIIAI chiffre 3110) :</w:t>
      </w:r>
    </w:p>
    <w:p>
      <w:r>
        <w:t>A/307/2008 - 9/10 -</w:t>
      </w:r>
    </w:p>
    <w:p>
      <w:r>
        <w:t>E x IE + ([EZ - E] x H) EZ</w:t>
      </w:r>
    </w:p>
    <w:p>
      <w:r>
        <w:t>E = travail fourni par les assurés en tant que personnes non invalides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H = handicap rencontré dans le ménage en pour cent.</w:t>
      </w:r>
    </w:p>
    <w:p>
      <w:r>
        <w:t>Le calcul à effectuer est donc le suivant : [18 x 0 + ([42 –18] x 26,5 )] : 42] =15, 14%, taux insuffisant pour ouvrir le droit à une rente.</w:t>
      </w:r>
    </w:p>
    <w:p>
      <w:r>
        <w:rPr>
          <w:b/>
        </w:rPr>
        <w:t>E. 8</w:t>
      </w:r>
    </w:p>
    <w:p>
      <w:r>
        <w:t>Au vu de ce qui précède, le recours ne peut être que rejeté. Par ailleurs, 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A/307/2008 - 10/10 -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