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ATAS/609/2017 vom 3. Juli 2017</w:t>
      </w:r>
    </w:p>
    <w:p>
      <w:r>
        <w:t>GE Cour de justice, 2017-07-03, FR</w:t>
      </w:r>
    </w:p>
    <w:p>
      <w:r>
        <w:rPr>
          <w:b/>
        </w:rPr>
        <w:t xml:space="preserve">Quelle: </w:t>
      </w:r>
      <w:r>
        <w:t>https://mcp.opencaselaw.ch/entscheid/ge_gerichte_ATAS_609_2017</w:t>
      </w:r>
    </w:p>
    <w:p>
      <w:r>
        <w:t>FR: GE_GERICHTE ATAS/609/2017 du 3 juillet 2017</w:t>
      </w:r>
    </w:p>
    <w:p>
      <w:r>
        <w:t>IT: GE_GERICHTE ATAS/609/2017 del 3 luglio 2017</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t>A/1888/2017 - 4/7 -</w:t>
      </w:r>
    </w:p>
    <w:p>
      <w:r>
        <w:rPr>
          <w:b/>
        </w:rPr>
        <w:t>E. 3</w:t>
      </w:r>
    </w:p>
    <w:p>
      <w:r>
        <w:t>L'objet du litige porte sur la suspension de cinq jours du droit à l'indemnité du recourant.</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w:t>
      </w:r>
    </w:p>
    <w:p>
      <w:r>
        <w:t>A/1888/2017 - 5/7 -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f.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(Bulletin LACI IC / D72). La Cour de céans doit se limiter à examiner si l'administration a fait un usage critiquable de son pouvoir d'appréciation (ATF du 16 avril 2008, 8C 316/07).</w:t>
      </w:r>
    </w:p>
    <w:p>
      <w:r>
        <w:t>A/1888/2017 - 6/7 -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fait valoir qu’il a été absorbé durant la semaine du 6 mars 2017 par la préparation de quatre entretiens auprès de deux employeurs différents, soit deux entretiens le 6 mars 2017 et un le 9 mars 2017 chez C______ et un entretien le 10 mars 2017 chez D______, de sorte qu’il a oublié de se présenter à l’entretien de conseil du 10 mars 2017. Ce fait n’est pas contesté par l’intimé et permet de qualifier la faute de l’assuré de légère. Cependant, le recourant ayant déjà fait l’objet d’une suspension de son droit à l’indemnité d’un jour au motif qu’il n’avait pas averti son conseiller de son empêchement à se présenter à l’entretien de conseil du 26 août 2016, force est de constater que la suspension de cinq jours, qui sanctionne un deuxième manquement, n’est pas disproportionnée, le barème de suspension du SECO prévoyant même une suspension d’au minimum neuf jours pour un second manquement.</w:t>
      </w:r>
    </w:p>
    <w:p>
      <w:r>
        <w:rPr>
          <w:b/>
        </w:rPr>
        <w:t>E. 7</w:t>
      </w:r>
    </w:p>
    <w:p>
      <w:r>
        <w:t>Au vu de ce qui précède, le recours ne peut qu'être rejeté.</w:t>
      </w:r>
    </w:p>
    <w:p>
      <w:r>
        <w:t>A/1888/2017 - 7/7 -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