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ATAS/608/2024 vom 13. August 2024</w:t>
      </w:r>
    </w:p>
    <w:p>
      <w:r>
        <w:t>GE Cour de justice, 2024-08-13, FR</w:t>
      </w:r>
    </w:p>
    <w:p>
      <w:r>
        <w:rPr>
          <w:b/>
        </w:rPr>
        <w:t xml:space="preserve">Quelle: </w:t>
      </w:r>
      <w:r>
        <w:t>https://mcp.opencaselaw.ch/entscheid/ge_gerichte_ATAS_608_2024</w:t>
      </w:r>
    </w:p>
    <w:p>
      <w:r>
        <w:t>FR: GE_GERICHTE ATAS/608/2024 du 13 août 2024</w:t>
      </w:r>
    </w:p>
    <w:p>
      <w:r>
        <w:t>IT: GE_GERICHTE ATAS/608/2024 del 13 agosto 2024</w:t>
      </w:r>
    </w:p>
    <w:p>
      <w:pPr>
        <w:pStyle w:val="Heading2"/>
      </w:pPr>
      <w:r>
        <w:t>Erwägungen</w:t>
      </w:r>
    </w:p>
    <w:p>
      <w:r>
        <w:rPr>
          <w:b/>
        </w:rPr>
        <w:t>E. 1.1</w:t>
      </w:r>
    </w:p>
    <w:p>
      <w:r>
        <w:t>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pas expressément.</w:t>
      </w:r>
    </w:p>
    <w:p>
      <w:r>
        <w:rPr>
          <w:b/>
        </w:rPr>
        <w:t>E. 1.3</w:t>
      </w:r>
    </w:p>
    <w:p>
      <w:r>
        <w:t>La procédure devant la chambre de céans est régie par les dispositions de la LPGA et de la loi sur la procédure administrative, du 12 septembre 1985 (LPA - E 5 10). Le recours a été interjeté en temps utile (art. 60 LPGA), dans le respect des exigences de forme et de contenu prévues par la loi (art. 61 let. b LPGA ; cf. aussi art. 89B LPA).</w:t>
      </w:r>
    </w:p>
    <w:p>
      <w:r>
        <w:rPr>
          <w:b/>
        </w:rPr>
        <w:t>E. 2.1</w:t>
      </w:r>
    </w:p>
    <w:p>
      <w:r>
        <w:t>Le 1er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w:t>
      </w:r>
    </w:p>
    <w:p>
      <w:r>
        <w:t>A/4033/2023 - 10/25 - Si elle est postérieure au 31 décembre 2021, le nouveau droit s’applique (cf. arrêt du Tribunal fédéral 9C_60/2023 du 20 juillet 2023 consid. 2.2. et les références).</w:t>
      </w:r>
    </w:p>
    <w:p>
      <w:r>
        <w:rPr>
          <w:b/>
        </w:rPr>
        <w:t>E. 2.2</w:t>
      </w:r>
    </w:p>
    <w:p>
      <w:r>
        <w:t>En l’occurrence, un éventuel droit à une rente d’invalidité naîtrait au plus tôt le 1er octobre 2022, soit six mois après le dépôt de la demande du 20 avril 2022 (cf. art. 29 al. 1 et 3 LAI), de sorte que les dispositions légales pertinentes seront citées dans leur nouvelle teneur.</w:t>
      </w:r>
    </w:p>
    <w:p>
      <w:r>
        <w:rPr>
          <w:b/>
        </w:rPr>
        <w:t>E. 3</w:t>
      </w:r>
    </w:p>
    <w:p>
      <w:r>
        <w:t>À teneur de l’art. 53 al. 3 LPGA, jusqu’à l’envoi de son préavis à l’autorité de recours, l’assureur peut reconsidérer une décision ou une décision sur opposition contre laquelle un recours a été formé. Dans sa réponse au recours, l’intimé a reconsidéré la décision litigieuse en ce sens qu’il reconnaissait désormais que le recourant présentait non pas une incapacité de travail de 30 %, mais une incapacité de travail totale depuis le début de l’âge adulte. Le recours n’est toutefois pas devenu sans objet pour autant, la question litigieuse étant de savoir si le droit à une rente d’invalidité doit être de toute manière refusé, faute, d’une part, d’une durée de cotisation suffisante du recourant et, d’autre part, de la réalisation par celui-ci des conditions d’octroi de mesures de réadaptation en faveur de ressortissants étrangers âgés de moins de 20 ans.</w:t>
      </w:r>
    </w:p>
    <w:p>
      <w:r>
        <w:rPr>
          <w:b/>
        </w:rPr>
        <w:t>E. 4.1</w:t>
      </w:r>
    </w:p>
    <w:p>
      <w:r>
        <w:t>Selon l’art. 1b LAI, sont assurées conformément à la présente loi les personnes qui sont assurées à titre obligatoire ou à titre facultatif en vertu des art. 1a et 2 de la loi fédérale sur l’assurance-vieillesse et survivants du 20 décembre 1946 (LAVS - RS 831.10). À teneur de l’art. 13 LPGA, le domicile d’une personne est déterminé selon les art. 23 à 26 du Code civil suisse du 10 décembre 1907 (CC - RS 210 ; al. 1). Une personne est réputée avoir sa résidence habituelle au lieu où elle séjourne un certain temps même si la durée de ce séjour est d’emblée limitée (al. 2). En vertu de l’art. 25 CC, l’enfant sous autorité parentale partage le domicile de ses père et mère ou, en l’absence de domicile commun des père et mère, le domicile de celui de ses parents qui détient la garde ; subsidiairement, son domicile est déterminé par son lieu de résidence (al. 1). Le domicile de l’enfant sous tutelle est au siège de l’autorité de protection de l’enfant (al. 2).</w:t>
      </w:r>
    </w:p>
    <w:p>
      <w:r>
        <w:rPr>
          <w:b/>
        </w:rPr>
        <w:t>E. 4.2</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w:t>
      </w:r>
    </w:p>
    <w:p>
      <w:r>
        <w:rPr>
          <w:b/>
        </w:rPr>
        <w:t>E. 4.3</w:t>
      </w:r>
    </w:p>
    <w:p>
      <w:r>
        <w:t>L’art. 6 al. 2 LAI constitue une règle de droit interne qui s’applique sous réserve des dispositions de l’accord sur la libre circulation des personnes</w:t>
      </w:r>
    </w:p>
    <w:p>
      <w:r>
        <w:t>A/4033/2023 - 11/25 - (accord du 21 juin 1999 entre la Confédération suisse d'une part, et la Communauté européenne et ses États membres, d'autre part, sur la libre circulation des personnes - ALCP - RS 0.142.112.681) avec l’UE, de la Convention AELE et des autres conventions internationales de sécurité sociale conclues par la Suisse. Demeure également réservé l’arrêté fédéral concernant le statut des réfugiés et des apatrides dans l’assurance-vieillesse et survivants et dans l’assurance-invalidité du 4 octobre 1962 (RS 831.31.11). L’art. 6 al. 2 LAI vise donc les assurés qui ne tombent pas sous le coup de ces réglementations (Michel VALTERIO, Commentaire de la loi fédérale sur l’assurance-invalidité [LAI], 2018, n. 5 ad art. 6). À cet égard, il sied de préciser qu’il n’existe pas, en l’espèce, de règles spéciales qui seraient applicables en lieu et place de l’art. 6 al. 2 LAI, étant relevé en particulier qu’il n’existe pas de convention bilatérale de sécurité sociale entre la Suisse et le Congo. L’art. 9 al. 3 LAI, auquel l’art. 6 al. 2 LAI fait référence, dispose ce qui suit : Les ressortissants étrangers âgés de moins de 20 ans révolus et qui ont leur domicile et leur résidence habituelle en Suisse ont droit aux mesures de réadaptation – dont font partie les mesures médicales (art. 8 al. 3 let. a LAI) et les mesures d’ordre professionnel (art. 8 al. 3 let. b LAI) – s’ils remplissent eux-mêmes les conditions prévues à l’art. 6 al. 2 LAI, ou si : a) lors de la survenance de l’invalidité, leur père ou mère compte, s’il s’agit d’une personne étrangère, au moins une année entière de cotisations ou dix ans de résidence ininterrompue en Suisse et si b) eux-mêmes sont nés invalides en Suisse ou, lors de la survenance de l’invalidité, résident en Suisse sans interruption.</w:t>
      </w:r>
    </w:p>
    <w:p>
      <w:r>
        <w:rPr>
          <w:b/>
        </w:rPr>
        <w:t>E. 5.1</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Une rente n'est pas octroyée tant que toutes les possibilités de réadaptation au sens de l'art. 8 al. 1bis et 1ter n'ont pas été épuisées (art. 28 al. 1bis LAI).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w:t>
      </w:r>
    </w:p>
    <w:p>
      <w:r>
        <w:t>A/4033/2023 - 12/25 - des effets sur la capacité de gain de l’assuré (arrêt du Tribunal fédéral I 654/00 du</w:t>
      </w:r>
    </w:p>
    <w:p>
      <w:r>
        <w:rPr>
          <w:b/>
        </w:rPr>
        <w:t>E. 5.2</w:t>
      </w:r>
    </w:p>
    <w:p>
      <w:r>
        <w:t>Selon l’art. 36 al. 1 LAI, a droit à une rente ordinaire l’assuré qui, lors de la survenance de l’invalidité, compte trois années au moins de cotisations. En vertu des art. 39 al. 1 LAI et 42 al. 1 LAVS, le droit à une rente extraordinaire d’invalidité est réservé aux ressortissants suisses qui ont leur domicile et leur résidence habituelle en Suisse, s’ils ont le même nombre d’années d’assurance que les personnes de leur classe d’âge, mais n’ont pas droit à une rente ordinaire parce qu’ils n’ont pas été soumis à l’obligation de verser des cotisations pendant une année entière au moins. Conformément à l’art. 39 al. 3 LAI, ont aussi droit à une rente extraordinaire les invalides étrangers et apatrides qui remplissaient comme enfants les conditions fixées à l’art. 9 al. 3.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(cf. arrêt du Tribunal fédéral 9C_156/2010 du 20 avril 2011 consid. 4.2.3, in RSAS 2011 p. 513, qui renvoie au ch. 7104 des directives concernant les rentes de l’assurance-vieillesse, survivants et invalidité fédérale [DR]). Le point de savoir si les conditions d'assurance étaient réalisées et si la personne concernée a eu droit ou aurait concrètement pu avoir droit à des mesures de réadaptation doit être examiné de manière rétrospective : il faut se demander si « comme enfant », l'intéressé satisfaisait à ces exigences. Selon la jurisprudence, tel n'est pas le cas lorsque pour la période courant avant son dix-huitième anniversaire, l'intéressé ne pouvait prétendre à des mesures de réadaptation d'ordre médical ou professionnel, parce qu'il avait bénéficié d'un traitement médical ayant pour objet l'affection en tant que telle (cf. art. 12 al. 1 LAI a contrario) et que son état de santé n'aurait pas permis de mettre en œuvre</w:t>
      </w:r>
    </w:p>
    <w:p>
      <w:r>
        <w:t>A/4033/2023 - 13/25 - des mesures de réadaptation professionnelles (arrêt du Tribunal fédéral des assurances I 230/73 du 17 décembre 1973). Dans un arrêt de principe, le Tribunal fédéral a précisé sa jurisprudence en ce sens que les termes « comme enfant » doivent être compris comme faisant référence à une personne n’ayant pas encore l’âge de 20 ans (et non pas 18 ans) révolus (ATF 140 V 246 consid. 7.3.2).</w:t>
      </w:r>
    </w:p>
    <w:p>
      <w:r>
        <w:rPr>
          <w:b/>
        </w:rPr>
        <w:t>E. 5.3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des assurances I 786/04 du 19 janvier 2006 consid. 3.1). 6.</w:t>
      </w:r>
    </w:p>
    <w:p>
      <w:r>
        <w:t>6.1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157 consid. 3b et références y citées). La LAI ne repose pas sur une notion uniforme du cas d'assurance. Celui-ci doit être envisagé et déterminé par rapport à chaque prestation entrant concrètement en ligne de compte (« System des leistungsspezifischen Versicherungsfalles ») : il convient d'examiner pour chaque prestation pouvant entrer en considération selon les circonstances, au sens de l'art. 4 al. 2 LAI, quand l'atteinte à la santé est susceptible, de par sa nature et sa gravité, de fonder le droit à la prestation particulière (ATF 140 V 246 consid. 6.1 et les arrêts cités). Ainsi, l’art. 4 al. 2 LAI implique notamment que la réalisation des conditions d’octroi des prestations est limitée à un type de prestation donné et n’entraîne en principe pas d’autres effets au-delà des prestations entrant en considération (arrêt du Tribunal fédéral 9C_231/2016 du 1er juin 2016 consid. 2.1). 6.1.1 Pour le droit à la rente, l’invalidité est réputée survenue au moment où la personne assurée présente une incapacité de travail d’au moins 40 % en moyenne depuis une année sans interruption notable, et qu’une fois le délai d’attente écoulé, cette incapacité perdure à 40 % au moins (cf. art. 28 al. 1 let. b et c). Le cas d’assurance ne peut toutefois survenir qu’au plus tôt le premier jour du mois qui suit le dix-huitième anniversaire (art. 29 al. 1 LAI ; ATF 126 V 5 consid. 2b). En revanche, l’événement assuré n’est pas réputé survenu et, partant, une rente n’est pas octroyée tant que toutes les possibilités de réadaptation au sens de l’art. 8</w:t>
      </w:r>
    </w:p>
    <w:p>
      <w:r>
        <w:t>A/4033/2023 - 14/25 - al. 1bis et 1ter n’ont pas été épuisées (cf. art. 28 al. 1bis LAI ; Michel VALTERIO, op. cit., n. 39 ad art. 4). Pour les invalides de naissance et les invalides précoces, le cas d’assurance est en règle générale réalisé au moment où ils atteignent leur dix-huitième année. Cette règle ne s’applique toutefois qu’à la condition qu’ils ne bénéficient pas à ce moment-là, de mesures de réadaptation. Dans de tels cas, le début de l’invalidité pour le droit à la rente est fixé à l’échéance ou à l’interruption des mesures de réadaptation (arrêt du Tribunal fédéral des assurances I 201/00 du 20 novembre 2000 consid. 3 ; Michel VALTERIO, op cit., n. 41 ad art. 4 LAI). 6.1.2 Aux termes de l’art. 10 al. 1 LAI, le droit aux mesures de réinsertion préparant à la réadaptation professionnelle et aux mesures d’ordre professionnel prend naissance au plus tôt au moment où l’assuré fait valoir son droit aux prestations conformément à l’art. 29 al. 1 LPGA. En ce qui concerne les autres mesures de réadaptation et les mesures de nouvelle réadaptation au sens de l’art. 8a LAI, le droit à celles-ci prend naissance dès qu’elles sont indiquées en raison de l’âge et de l’état de santé de l’assuré (art. 10 al. 2 LAI). 6.1.3 À teneur de l'art. 12 al. 1 LAI, dans sa teneur en vigueur jusqu’au 31 décembre 2021, l'assuré a droit, jusqu'à l'âge de 20 ans, aux mesures médicales qui n'ont pas pour objet le traitement de l'affection comme telle, mais sont directement nécessaires à la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Lorsque des mesures médicales sont en cause, l’invalidité est réputée survenue au moment où l’infirmité constatée rend objectivement nécessaire, pour la première fois, un traitement médical ou un contrôle permanent ; c’est le cas lorsque la nécessité du traitement ou du contrôle commence à se faire sentir et qu’il n’y a pas de contre-indication. Ces principes valent également lorsqu’il faut déterminer la survenance de l’invalidité chez les mineurs souffrant d’une infirmité congénitale (ATF 133 V 303 consid. 7.2 et les arrêts cités). 6.1.4 L'art. 12 LAI a notamment pour but de délimiter le champ d’application de l'assurance-invalidité, d'une part, et de l'assurance-maladie et accidents sociale, d'autre part. Cette délimitation repose sur le principe selon lequel le traitement d'une maladie ou d'une lésion ressortit en premier lieu au domaine de l'assurance-maladie et accidents, sans tenir compte de la durée de l'affection (ATF 104 V 79 consid. 1 ; 102 V 40 consid. 1 ; arrêt du Tribunal fédéral 9C_452/2014 du 29 octobre 2014 consid. 2.1). Selon la jurisprudence, seules les mesures qui ne visent pas à guérir ou à atténuer des états pathologiques labiles doivent être prises en charge par l'assurance-invalidité. Alors que ce principe s'applique sans autre aux adultes, il est sensiblement différent concernant les</w:t>
      </w:r>
    </w:p>
    <w:p>
      <w:r>
        <w:t>A/4033/2023 - 15/25 - jeunes n’ayant pas atteint l’âge de 20 ans révolus : pour cette catégorie d’assurés, l'AI doit prendre en charge les mesures médicales – en tenant compte de la phase de développement physique et mental dans laquelle ils se trouvent – malgré le caractère momentanément encore instable de leur affection, lorsque, sans ces mesures, une guérison imparfaite ou un état stabilisé défectueux surviendrait dans un proche avenir, compromettant ainsi leur formation professionnelle ou leur capacité de gain, voire les deux (arrêt du Tribunal fédéral 9C_912/2014 du 7 mai 2015 consid. 1.2 ; arrêt du Tribunal fédéral des assurances I 23/04 du 23 septembre 2004 consid. 4.1). En revanche, il existe des affections psychiques qui, selon les connaissances de la science médicale, ne peuvent pas être soignées sans un traitement durable et ne ressortissent donc pas à l’assurance-invalidité. En effet, on ne saurait parler, en pareil cas, d'un « caractère momentanément encore instable de l’affection ». Or, en présence d'un traitement durable d’une affection, il n’est plus possible de retenir que celui-ci poursuit (également) un but de réadaptation professionnelle. Le but de réadaptation de la thérapie fait donc défaut. Étant donné que dans ces cas, le besoin de traitement persiste de manière inchangée même à l'âge adulte, il n'y a aucune raison d'appliquer la pratique spécialement applicable aux assurés avant l'âge de 20 ans révolus (arrêt du Tribunal fédéral des assurances I 23/04 du 23 septembre 2004 consid. 4.2). 6.2 Au moment de la survenance de l’invalidité spécifique aux prestations entrant en considération (art. 4 al. 2 LAI), les conditions d’assurance selon l’art. 1b LAI en relation avec les art. 1a et 2 LAVS (en tenant compte, le cas échéant, de l’art. 6 et de l’art. 9 al. 2 et 3 LAI ou des dispositions d’une convention internationale) doivent être remplies pour ouvrir droit aux prestations (Ulrich MEYER/ Marco REICHMUTH, Rechtsprechung des Bundesgerichts zum Bundesgestz über die Invalidenversicherung [IVG], 4ème éd. 2022, n. 158 ad art. 4 LAI et les arrêts cités). 7.</w:t>
      </w:r>
    </w:p>
    <w:p>
      <w:r>
        <w:t>7.1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114 V 310 consid. 3c ; arrêt du Tribunal fédéral 8C_442/2013 du 4 juillet 2014 consid. 2). 7.2 Selon le principe de libre appréciation des preuves, pleinement valable en procédure judiciaire de recours dans le domaine des assurances sociales (cf. art. 61 let. c LPGA), le juge n’est pas lié par des règles formelles, mais doit examiner de</w:t>
      </w:r>
    </w:p>
    <w:p>
      <w:r>
        <w:t>A/4033/2023 - 16/25 -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7.3 Sans remettre en cause le principe de la libre appréciation des preuves, le Tribunal fédéral des assurances a posé des lignes directrices en ce qui concerne la manière d’apprécier certains types d’expertises ou de rapports médicaux. 7.3.1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7.3.2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du 17 janvier 1961 sur l’assurance-invalidité du 17 janvier 1961 -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7.3.3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w:t>
      </w:r>
    </w:p>
    <w:p>
      <w:r>
        <w:t>A/4033/2023 - 17/25 -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w:t>
      </w:r>
    </w:p>
    <w:p>
      <w:r>
        <w:t>8.1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126 V 319 consid. 5a). 8.2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En l’espèce, la décision litigieuse considérait, avant la réponse du 5 mars 2024 de l’intimé, que le recourant ne remplissait pas les conditions permettant l’octroi d’une rente d’invalidité, vu le rapport d’expertise du Dr N______, concluant à une capacité de travail résiduelle de 70 %, présente depuis le début de l’âge adulte dans une activité adaptée, soit une activité au niveau d’acquisition très simple</w:t>
      </w:r>
    </w:p>
    <w:p>
      <w:r>
        <w:t>A/4033/2023 - 18/25 - intellectuellement, répétitive et ne nécessitant pas une attention optimale, sans horaires irréguliers, sans relations sociales intenses ou stressantes, sans multitâche, sans conduite professionnelle et en dehors du milieu de la restauration compte tenu du risque lié à la consommation d’alcool. La chambre de céans constate qu’il ressort du rapport d’expertise du 22 juin 2023 du Dr N______ que plusieurs entretiens (en lieu et place d’un seul ayant effectivement eu lieu) étaient prévus mais n’avaient pas pu être menés. De surcroît, cet expert ne s’est pas penché sur le rapport d’expertise du 29 mai 2020 du Dr M______, motif pris qu’il était « indisponible ». Dans ces conditions, on ne saurait retenir que l’expertise diligentée par l’OAI se baserait sur des observations approfondies et des investigations complètes et qu’elle aurait été rendue en pleine connaissance du dossier, si bien qu’il n’apparaît pas contestable – et qu’il n’est pas non plus contesté – que le rapport d’expertise du 22 juin 2023 est dépourvu de valeur probante. Pour retenir, dans sa réponse du 5 mars 2024, que le recourant présentait une incapacité de travail totale dès 18 ans, l’intimé s’est fondé sur l’avis du</w:t>
      </w:r>
    </w:p>
    <w:p>
      <w:r>
        <w:rPr>
          <w:b/>
        </w:rPr>
        <w:t>E. 13</w:t>
      </w:r>
    </w:p>
    <w:p>
      <w:r>
        <w:t>février 2024 du SMR. Ce dernier considère que le trouble de la personnalité dyssocial est sévère et incapacitant depuis l’âge de jeune adulte et empêche par ailleurs toute exigibilité de traitement ou d’abstinence (en rapport avec la consommation de substances psychoactives), ce qui est motivé, entre autres, par le fait que le recourant est difficilement compliant aux soins psychiatriques proposés par le Dr O______ et qu’il a repris la consommation de substances psychoactives, son abstinence passagère (en 2018) s’expliquant en effet par son incarcération dans un centre rééducatif fermé à cette époque. Le SMR s’appuie également sur les éléments ressortant du rapport d’expertise du 29 mai 2020 du Dr M______, parmi lesquels on trouve un bilan neuropsychologique réalisé en octobre 2018, mettant en évidence « un niveau de fonctionnement intellectuel dans la moyenne inférieure, avec des déficits exécutifs au premier plan, associés à un trouble de la mémoire de travail verbal, des fluctuations attentionnelles, ainsi qu’une atteinte de la cognition sociale. Les déficits relevés sont décrits comme compatibles avec une origine multifactorielle, c’est-à-dire à la fois liés au faible niveau d’éducation scolaire, aux séquelles de trouble envahissant du développement, à la poly- toxicomanie et au trouble psychiatrique » (cf. rapport d’expertise du 29 mai 2020 du Dr M______, p. 8). La chambre de céans constate que l’avis du 13 février 2024 du SMR explique bien les raisons pour lesquelles il s’écarte du rapport d’expertise – non probant – du Dr N______, qu’il est motivé à la lumière de l’ensemble du dossier médical et qu’il est en accord avec les rapports des 30 novembre 2023 et 30 janvier 2024 du Dr O______ en tant que ceux-ci concluent à une incapacité de travail dans toute activité. Aussi cet avis du 13 février 2024 du SMR peut se voir reconnaître valeur probante.</w:t>
      </w:r>
    </w:p>
    <w:p>
      <w:r>
        <w:t>A/4033/2023 - 19/25 - 10. Une incapacité totale de travail étant ainsi établie depuis mai 2013, au degré de la vraisemblance prépondérante, soit depuis la majorité du recourant, il reste à déterminer si ce dernier peut prétendre à l’octroi d’une rente entière d’invalidité. 10.1 En vertu de l’art. 28b LAI, la quotité de la rente est fixée en pourcentage d’une rente entière (al. 1). Pour un taux d’invalidité compris entre 50 et 69 %, la quotité de la rente correspond au taux d’invalidité (al. 2) ; pour un taux d’invalidité supérieur ou égal à 70 %, l’assuré a droit à une rente entière (al. 3). Pour les taux d’invalidité compris entre 40 et 49 %, la quotité de la rente s’échelonne de 25 à 47.5 % (cf.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18ème anniversaire de l’assuré (art. 29 al. 1 LAI). 10.2 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 ou plus (al. 2 let. a). 10.3 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l’ESS font foi. D’autres valeurs statistiques peuvent être</w:t>
      </w:r>
    </w:p>
    <w:p>
      <w:r>
        <w:t>A/4033/2023 - 20/25 -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 10.4 Si l’assuré ne peut commencer ou achever une formation professionnelle en raison de son invalidité, le revenu sans invalidité est déterminé sur la base des valeurs statistiques définies à l’art. 25 al. 3. En dérogation à l’art. 25 al. 3, seules des valeurs indépendantes du sexe sont utilisées (art. 26 al. 6 RAI). 10.5 Si l’assuré réalise un revenu après la survenance de l’invalidité, le revenu avec invalidité (art. 16 LPGA) correspond à ce revenu, à condition que l’assuré exploite autant que possible sa capacité fonctionnelle résiduelle en exerçant une activité qui peut raisonnablement être exigée de lui (art. 26bis al. 1 RAI). Si l’assuré ne réalise pas de revenu déterminant, le revenu avec invalidité est déterminé en fonction des valeurs statistiques visées à l’art. 25 al. 3 RAI. Pour les assurés visés à l’art. 26 al. 6, des valeurs indépendantes du sexe sont utilisées en dérogation à l’art. 25 al. 3 (art. 26bis al. 2 RAI). 10.6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10.6.1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10.6.2 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Il ne s’agit pas d’une « comparaison en pour-cent » au sens de l'ATF 114 V 310 consid. 3a, mais d’une simplification purement arithmétique (arrêt du Tribunal fédéral 8C_111/2023 du 12 octobre 2023 consid. 6.2 et les références). 10.7 En l’espèce, l’intimé a considéré que l’absence d’activité professionnelle du recourant avant son atteinte à la santé ne reflétait pas sa volonté hypothétique et qu’en conséquence, il convenait de lui reconnaître le statut d’actif. L’intimé a également estimé qu’en l’absence d’activité exercée avant et après la survenance de l’invalidité, il était nécessaire de déterminer les revenus avec et sans invalidité</w:t>
      </w:r>
    </w:p>
    <w:p>
      <w:r>
        <w:t>A/4033/2023 - 21/25 - sur la même tabelle statistique, si bien que le taux d’invalidité se confondait avec la capacité de travail raisonnablement exigible dans une activité adaptée. Ces appréciations, qui ne sont pas contestées, apparaissent correctes, si bien qu’il n’y a pas lieu de s’en écarter. On ajoutera que dans la mesure où le recourant a eu</w:t>
      </w:r>
    </w:p>
    <w:p>
      <w:r>
        <w:rPr>
          <w:b/>
        </w:rPr>
        <w:t>E. 18</w:t>
      </w:r>
    </w:p>
    <w:p>
      <w:r>
        <w:t>ans le 23 avril 2013 et que sa capacité de travail est entièrement nulle depuis lors (ci-dessus : consid. 9), l’invalidité – pour le cas d’assurance « rente » – est survenue le 23 avril 2014 (cf. art. 28 al. 1 LAI ; arrêt du Tribunal fédéral 9C_510/2020 du 2 novembre 2020 consid. 2.2). Pour le surplus, il n’est pas contesté que le recourant ne présentait pas, à cette date, un minimum de trois années de cotisations AVS, si bien qu’en application de l’art. 36 al. l LAI, il ne peut pas prétendre à une rente d’invalidité ordinaire. 11. Il reste à examiner si en tant que ressortissant étranger, le recourant répond aux critères d’octroi d’une rente entière d’invalidité extraordinaire en application de l’art. 39 al. 3 LAI. 11.1 On rappellera que les termes de l’art. 39 al. 3 LAI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 été ou aurait pu lui être reconnu, parce qu'il satisfaisait ou aurait pu satisfaire aux conditions matérielles de la prestation de réadaptation visée par l'art. 9 LAI (cf. ci-dessus : consid. 5.2). En outre, les termes « comme enfants » se réfèrent à des ressortissants étrangers n’ayant pas encore l’âge de 20 ans révolus (ATF 140 V 246 consid. 7.3.2). On ajoutera qu’aux termes de l’art. 5 al. 2 LAI, l’invalidité des assurés âgés de moins de 20 ans qui n’exercent pas d’activité lucrative est déterminée selon l’art. 8 al. 2 LPGA. Les assurés mineurs sans activité lucrative sont réputés invalides s’ils présentent une atteinte à leur santé physique, mentale ou psychique qui provoquera probablement une incapacité de gain totale ou partielle (art. 8 al. 2 LPGA). Les assurés âgés de moins de 20 ans révolus, n’exerçant pas d’activité lucrative, sont dès lors réputés invalides s’ils présentent une atteinte à la santé physique, psychique ou mentale qui provoquera vraisemblablement une incapacité de gain totale ou partielle (art. 8 al. 2 LPGA en lien avec l’art. 5 al. 2 LAI). Dans ce cas, l’invalidité est déterminée en considérant le moment où ils entreront dans la vie active et il n’est pas nécessaire qu’elle soit immédiate. En d’autres termes, l’invalidité résulte ici d’un état de fait hypothétique (une détérioration probable de la capacité de gain) au lieu d’un état de fait donné comme chez les assurés âgés de plus de 20 ans révolus (Michel VALERIO, op. cit., n. 6 ad art. 5 LAI et les arrêts cités).</w:t>
      </w:r>
    </w:p>
    <w:p>
      <w:r>
        <w:t>A/4033/2023 - 22/25 - Si l'atteinte à la santé est grave au point qu'il est probable qu'aucune activité lucrative ne pourra être exercée à l'avenir, c’est-à-dire à l'âge de 20 ans révolus, il n'existe a priori aucun droit à toutes les mesures de réadaptation (au sens des art. 12 ss LAI) qui dépendent d’une efficacité de la réadaptation sur le plan professionnel (cf. art. 8 al. 1 let. a et al. 1bis phr. 2 let. c LAI ; Ulrich MEYER/Marco REICHMUTH, op. cit., 4ème éd. 2022, n. 29 ad art. 5). Ainsi, sous réserve des exceptions prévues aux alinéas 2 et 2bis de l’art. 8 LAI, les assurés n’ont droit qu’aux mesures de réadaptation nécessaires et de nature à rétablir, maintenir ou améliorer leur capacité de gain ou leur capacité d’accomplir leurs travaux habituels. Quelles que soient les mesures et leur champ d’application, celles qui n’aboutissent qu’à une faible amélioration de la capacité de gain ou d’exercer leurs travaux habituels ne sont pas prises en charge par l’AI. La loi ne prévoit en effet pas l’octroi de mesures propres à conserver un reste de capacité négligeable et incertain (ATF 115 V 191 consid. 5c ; Michel VALTERIO, op cit., n. 6 ad art. 8 LAI). 11.2 Il sied également de rappeler qu’en l’espèce, une première demande de prestations, formée en août 2003, demandant des mesures médicales au sens de art. 12 LAI (psychothérapie) et des subsides pour la formation spéciale avait été refusée par décisions des 16 et 17 octobre 2003, sous l’angle des seules conditions d’assurance (art. 6 al. 2 et 9 al. 3 LAI) qui faisaient alors défaut. La deuxième demande de prestations, formée en septembre 2011, avait fait l’objet d’une décision de refus d’entrée en matière. Dans le cadre de l’examen de la demande de prestations du 20 avril 2022, plus précisément après avoir reconsidéré pendente lite la décision litigieuse qui niait le droit à une rente sur la base d’un degré d’invalidité insuffisant, l’intimé ne s’est pas formellement prononcé sur la réalisation des conditions d’assurance pour la période postérieure aux décisions clôturant la procédure initiée suite aux deux premières demandes. Il a en revanche estimé, d’un point de vue rétrospectif (ci-dessus : consid. 5.2), que le recourant ne remplissait de toute manière pas les conditions matérielles d’octroi de mesures de réadaptation avant l’âge de 20 ans, référence étant faite à l’avis du 30 avril 2024 du SMR. 11.2.1 Aussi convient-il d’examiner la valeur probante de cet avis du SMR, niant qu’il existait une possibilité pour le recourant d’effectuer une mesure de réadaptation compte tenu, d’une part, de son atteinte psychiatrique incapacitante, séquellaire d’un trouble de l’attachement et du développement et, d’autre part, de son parcours psychiatrique. Le recourant soutient pour sa part qu’il remplissait les conditions matérielles d’octroi de mesures de réadaptation avant l’âge de 20 ans, référence étant faite à un certificat du 8 avril 2024 du Dr O______ (pièce 8 recourant), aux termes duquel « la mise en place de mesure[s] de réadaptation d’ordre professionnel, et en particulier dès l’âge de la jeunesse, est à considérer comme un important instrument pour assurer un redressement social à long terme ».</w:t>
      </w:r>
    </w:p>
    <w:p>
      <w:r>
        <w:t>A/4033/2023 - 23/25 - La chambre de céans constate toutefois que dans son rapport du 31 janvier 2024, le Dr O______ indique que le recourant est suivi sur plan psychiatrique depuis 2003, qu’il est connu pour la consommation de multiples substances (ecstasy, cannabis, cocaïne, héroïne) et qu’il a été hospitalisé à de nombreuses reprises dès l’âge de 12 ans pour des troubles du comportement avec auto- et hétéro- agressivité. Il ajoute que « la difficulté à suivre le suivi mis en place et à effectuer un sevrage […] complique l’obtention d’une stabilité clinique [permettant] qu’une formation et une [insertion] sur le marché du travail soient possibles ». Il résulte de ces explications complémentaires du Dr O______ que l’instabilité clinique persistante du recourant sur le plan psychiatrique, y compris à l’âge de 28 ans, ne permet pas de considérer de manière rétrospective (ci-dessus : consid. 5.2) que ses troubles psychiques présentaient, avant l’âge de 20 ans, un « caractère momentanément encore instable » au sens de la jurisprudence sur les mesures médicales. En effet, en présence d'un traitement durable d’une affection, comme c’est le cas en l’espèce, il n’est plus possible de retenir que celui-ci poursuit (également) un but de réadaptation professionnelle. On rappellera par ailleurs que des mesures qui visent à guérir ou à atténuer des états pathologiques instables ne doivent pas être prises en charge par l'assurance-invalidité (cf. ci-dessus : consid. 6.1.4). Dans son rapport du 31 janvier 2014, le Dr O______ fait par ailleurs dépendre une éventuelle formation et insertion sur le marché du travail du recourant de l’obtention préalable d’une stabilité clinique (non encore acquise à 28 ans). Il s’ensuit que l’état de santé de l’intéressé, qui fait l’objet d’un traitement durable depuis 2003, ne permet pas et n’aurait pas permis non plus de mettre en œuvre des mesures de réadaptation d’ordre professionnel avant l’âge de 20 ans, celles-ci n’étant rétrospectivement pas de nature à empêcher une incapacité de gain à l'âge de 20 ans révolus (cf. ci-dessus : consid. 5.2 et 11.1). Dans ces conditions, le certificat du 8 avril 2024 du Dr O______ n’est pas de nature à mettre en doute les conclusions du 30 avril 2024 du SMR, lesquelles sont bien motivées à la lumière du parcours psychiatrique et du caractère incapacitant de l’atteinte à la santé. Aussi la chambre de céans considérera-t-elle qu’il est établi, au degré de la vraisemblance prépondérante, que le recourant ne remplissait pas les conditions matérielles d’octroi de mesures de réadaptation avant l’âge de</w:t>
      </w:r>
    </w:p>
    <w:p>
      <w:r>
        <w:rPr>
          <w:b/>
        </w:rPr>
        <w:t>E. 20</w:t>
      </w:r>
    </w:p>
    <w:p>
      <w:r>
        <w:t>ans révolus. La chambre de céans se dispensera en conséquence d’examiner si pour de telles mesures, les conditions d’assurance (art. 9 al. 3 LAI) étaient alors remplies après les décisions des 17 octobre 2003 et 20 octobre 2011. 11.2.2 Il résulte en synthèse de ce qui précède que bien que l’invalidité totale du recourant (100 %) soit survenue le 23 avril 2014 et lui aurait permis, en principe, de prétendre à une rente entière dès le mois d’octobre 2022, soit six mois après le dépôt de sa demande le 20 avril 2022 (cf. art. 29 al. 1 LAI), il n’en demeure pas moins que l’intéressé ne peut prétendre ni à une rente ordinaire – faute de présenter au moins trois années de cotisations au moment de la survenance de</w:t>
      </w:r>
    </w:p>
    <w:p>
      <w:r>
        <w:t>A/4033/2023 - 24/25 - l’invalidité (cf. art. 36 al. 1 LAI) – ni à une rente extraordinaire au sens de l’art. 39 al. 3 LAI, étant donné qu’il ne remplissait pas les conditions matérielles d’octroi de mesures de réadaptation avant l’âge de 20 ans révolus. 11.2.3 Dans son écriture du 14 juin 2024, le recourant fait néanmoins valoir que dans la mesure où l’intimé a admis dans sa réponse du 5 mars 2024 qu’il présentait une incapacité de travail totale depuis le début de l’âge adulte, ce qui ne ressort pas de la décision du 31 octobre 2023 attaquée – niant le droit à une rente d’invalidité en raison d’un taux d’invalidité de 30 %, fondé sur une capacité de travail de 70 % dans une activité adaptée dès le 1er mai 2013 –, il conviendrait d’annuler la décision précitée et de reconnaître son invalidité de 100 %, de manière à lui permettre de former une demande de prestations complémentaires (ci-après : PC) auprès du SPC. Cette conclusion ne saurait être suivie. En effet, comme indiqué plus haut, la reconsidération pendente lite de la décision du 31 octobre 2023 (cf. ci-dessus : consid. 3), reconnaissant au recourant une incapacité de travail totale depuis le début de l’âge adulte et, partant, une invalidité de 100 %, ressort déjà de l’écriture du 5 mars 2024 de l’intimé et des considérants qui précèdent. En second lieu, il n’appartient pas à la chambre de céans de se prononcer sur le droit éventuel du recourant à des PC, singulièrement à des prestations indépendantes d’une rente de l’AVS ou de l’AI (« rentenlose Ergänzungsleistung »). En effet, aussi longtemps que l’autorité compétente – in casu : le SPC – pour se prononcer à titre principal sur certaines questions n’a pas rendu de décision à leur sujet, il n’y a pas de place pour une décision en constatation émanant d’une autre autorité sur les questions préliminaires – en matière de PC (cf. arrêt du Tribunal fédéral 9C_126/2021 du 29 mars 2022 consid. 5.2). La chambre de céans s’abstiendra en conséquence de constater, dans le dispositif du présent arrêt, l’invalidité totale du recourant – qui n’est plus litigieuse depuis le 5 mars 2024. 12. Il s’ensuit que le recours doit être rejeté. 13. Bien que la procédure ne soit pas gratuite en matière d’assurance-invalidité (cf. art. 69 al. 1bis LAI), il y a lieu en l’espèce de renoncer à la perception d’un émolument, le recourant étant au bénéfice de l’assistance juridique (art. 12 al. 1 du règlement sur les frais, émoluments et indemnités en procédure administrative du 30 juillet 1986 - RFPA - E 5 10.03). *****</w:t>
      </w:r>
    </w:p>
    <w:p>
      <w:r>
        <w:t>A/4033/2023 - 25/25 -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