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ATAS/608/2019 vom 27. Juni 2019</w:t>
      </w:r>
    </w:p>
    <w:p>
      <w:r>
        <w:t>GE Cour de justice, 2019-06-27, FR</w:t>
      </w:r>
    </w:p>
    <w:p>
      <w:r>
        <w:rPr>
          <w:b/>
        </w:rPr>
        <w:t xml:space="preserve">Quelle: </w:t>
      </w:r>
      <w:r>
        <w:t>https://mcp.opencaselaw.ch/entscheid/ge_gerichte_ATAS_608_2019</w:t>
      </w:r>
    </w:p>
    <w:p>
      <w:r>
        <w:t>FR: GE_GERICHTE ATAS/608/2019 du 27 juin 2019</w:t>
      </w:r>
    </w:p>
    <w:p>
      <w:r>
        <w:t>IT: GE_GERICHTE ATAS/608/2019 del 27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le point de savoir si c’est à juste titre que l’intimé a nié à la recourante le droit à une allocation pour impotence.</w:t>
      </w:r>
    </w:p>
    <w:p>
      <w:r>
        <w:rPr>
          <w:b/>
        </w:rPr>
        <w:t>E. 4</w:t>
      </w:r>
    </w:p>
    <w:p>
      <w:r>
        <w:t>a. Selon l’art. 42 LAI, les assurés impotents (art. 9 LPGA) qui ont leur domicile et leur résidence habituelle (art. 13 LPGA) en Suisse ont droit à une allocation pour impotent (al. 1er).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w:t>
      </w:r>
    </w:p>
    <w:p>
      <w:r>
        <w:t>A/571/2018 - 10/16 -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  de façon permanente, de soins particulièrement astreignants, exigés par l'infirmité de l'assuré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w:t>
      </w:r>
    </w:p>
    <w:p>
      <w:r>
        <w:t>A/571/2018 - 11/16 - - manger; - faire sa toilette (soins du corps) ; - aller aux toilettes ; - se déplacer dans l’appartement ou à l'extérieur, établir des contacts (ATF 125 V 303 consid. 4a, 124 II 247 consid. 4c, 121 V 90 consid. 3a et les références).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Comme déjà indiqué supra,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du Tribunal fédéral 9C_688/2014 du 1er juin 2015 consid. 3.6 et les références citées). En outre, pour être pris en compte, l’accompagnement doit être régulier. Il l’est lorsqu'il est nécessité en moyenne au moins deux heures par semaine sur une</w:t>
      </w:r>
    </w:p>
    <w:p>
      <w:r>
        <w:t>A/571/2018 - 12/16 -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 partenaire, exerce un emploi ou fréquente une structure d’accueil de jour (ch. 8052 CIIAI). Les activités de représentation et d’administration dans le cadre des mesures de protection de l’adulte au sens des arts. 390 à 398 du Code civil ne constituent pas un besoin d’accompagnement. Mais si le curateur fournit également un</w:t>
      </w:r>
    </w:p>
    <w:p>
      <w:r>
        <w:t>A/571/2018 - 13/16 - accompagnement personnel, ces activités entrent dans la définition de l’accompagnement au sens de l’art. 38 RAI (Michel VALTERIO, Droit de l’assurance-vieillesse et survivants (AVS) et de l’assurance-invalidité (AI), 2011, n. 2297 p. 618).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w:t>
      </w:r>
    </w:p>
    <w:p>
      <w:r>
        <w:t>A/571/2018 - 14/16 -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w:t>
      </w:r>
    </w:p>
    <w:p>
      <w:r>
        <w:rPr>
          <w:b/>
        </w:rPr>
        <w:t>E. 6</w:t>
      </w:r>
    </w:p>
    <w:p>
      <w:r>
        <w:t>En l’espèce, l’intimé s’est fondé, pour examiner le droit à une allocation pour impotent, principalement sur les conclusions du rapport d’enquête. Il n’est pas contesté que la recourante est autonome pour les actes ordinaires de la vie répertoriés par la jurisprudence. Est en revanche litigieuse la question de la nécessité d’un accompagnement durable, niée par l’enquêtrice au motif que la majeure partie de l’aide apportée était consécutive à un défaut de scolarisation et non au handicap en lui-même. Il est vrai que le médecin, s’il a confirmé que l’assurée avait besoin d’aide pour structurer sa journée et était entourée de sa belle-famille 24h./24, ce qui lui permettait de ne pas vivre en institution, a implicitement admis que d’autres éléments que la surdité profonde de l’assurée et son incapacité à communiquer autrement qu’en langue des signes. Il est difficile de faire la part entre ce qui relève du défaut de formation et des difficultés « linguistiques » de l’assurée, d’une part, et ce qui est uniquement consécutif à son handicap. S’y ajoute le fait qu’une atteinte psychique ou mentale est potentiellement présente, qui n’a jamais été investiguée, l’assurée ayant toujours été prise en charge par son entourage. Il n’en demeure pas moins que l’éventualité d’une telle atteinte est</w:t>
      </w:r>
    </w:p>
    <w:p>
      <w:r>
        <w:t>A/571/2018 - 15/16 - soulevée par son conseil et que sa belle-sœur admet que s’occuper de la recourante revient à s’occuper d’un enfant supplémentaire. S’y ajoutent les renseignements donnés quant à l’incapacité de l’intéressée à gérer son temps ou son argent toute seule, qui sèment le doute à cet égard. Il semble douteux qu’un tel besoin d’accompagnement au quotidien, confirmé par le médecin traitant, ne soit imputable qu’à la surdité et au défaut de scolarisation. Dès lors, dans la mesure où l’intimé entend se prévaloir d’éléments extra-médicaux pour nier à l’assurée le droit à l’allocation pour impotence, il convient de s’assurer au préalable qu’aucune atteinte psychique ou mentale ne joue de rôle et ne contribue au besoin d’assistance dont plusieurs personnes, proches, médecin et assistante sociale ont témoigné. Eu égard à ces considérations, une instruction médicale complémentaire s’impose sur le plan psychique afin de déterminer si une atteinte de ce type ou une déficience mentale pourrait expliquer le besoin d’accompagnement accru de la recourante. La cause est donc renvoyée à l’intimé à charge pour ce dernier de statuer à nouveau une fois ces investigations menées à bien. Le recours est partiellement admis.</w:t>
      </w:r>
    </w:p>
    <w:p>
      <w:r>
        <w:t>A/571/2018 - 16/16 -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