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ATAS/608/2018 vom 28. Juni 2018</w:t>
      </w:r>
    </w:p>
    <w:p>
      <w:r>
        <w:t>GE Cour de justice, 2018-06-28, FR</w:t>
      </w:r>
    </w:p>
    <w:p>
      <w:r>
        <w:rPr>
          <w:b/>
        </w:rPr>
        <w:t xml:space="preserve">Quelle: </w:t>
      </w:r>
      <w:r>
        <w:t>https://mcp.opencaselaw.ch/entscheid/ge_gerichte_ATAS_608_2018</w:t>
      </w:r>
    </w:p>
    <w:p>
      <w:r>
        <w:t>FR: GE_GERICHTE ATAS/608/2018 du 28 juin 2018</w:t>
      </w:r>
    </w:p>
    <w:p>
      <w:r>
        <w:t>IT: GE_GERICHTE ATAS/608/2018 del 28 giugno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A/3726/2017 - 8/12 -</w:t>
      </w:r>
    </w:p>
    <w:p>
      <w:r>
        <w:rPr>
          <w:b/>
        </w:rPr>
        <w:t>E. 3</w:t>
      </w:r>
    </w:p>
    <w:p>
      <w:r>
        <w:t>Interjeté dans la forme et le délai prescrits par la loi, le recours est recevable, conformément aux art. 56ss LPGA.</w:t>
      </w:r>
    </w:p>
    <w:p>
      <w:r>
        <w:rPr>
          <w:b/>
        </w:rPr>
        <w:t>E. 4</w:t>
      </w:r>
    </w:p>
    <w:p>
      <w:r>
        <w:t>Il n'est pas contesté que la recourante a été victime d’un premier accident en date du</w:t>
      </w:r>
    </w:p>
    <w:p>
      <w:r>
        <w:rPr>
          <w:b/>
        </w:rPr>
        <w:t>E. 8</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A/3726/2017 - 10/12 -</w:t>
      </w:r>
    </w:p>
    <w:p>
      <w:r>
        <w:rPr>
          <w:b/>
        </w:rPr>
        <w:t>E. 9</w:t>
      </w:r>
    </w:p>
    <w:p>
      <w:r>
        <w:t>En l’espèce, l’intimée considère que la recourante a recouvré une pleine capacité de travail dans une activité adaptée depuis le 1er décembre 2015. Elle se fonde pour cela, notamment, sur les avis des Drs G______ et K______. Dans son arrêt de décembre 2016, la Cour de céans a également reconnu pleine valeur probante au rapport d'expertise de la Dresse G______ (arrêt op. cit. consid. 11). Les conclusions de celle-ci ont d’ailleurs été corroborées par celles du Dr K______ qui, lui aussi, a constaté que la recourante s'était remise des suites de l'accident du 8 septembre 2014. Le Dr K______ a en effet pu observer que l'état de santé de la recourante consécutif au premier évènement était stabilisé et ne nécessitait plus de traitement particulier. Tout comme sa consœur, l’expert a considéré l’assurée apte à exercer à plein temps une activité professionnelle adaptée. Là encore, la recourante n’apporte aucun élément objectif susceptible de faire douter des conclusions de ces deux experts. C’est dès lors à juste titre que l’intimée s’est fondée sur une pleine capacité de travail dans une activité adaptée pour procéder à la comparaison des revenus, dont le calcul en lui-même n’est pas contesté par la recourante. Au demeurant, ladite comparaison aboutit à un degré d’invalidité de 0%, similaire à celui de 2,69% auquel est parvenue quant à elle l’assurance-invalidité (cf. décision du 23 février 2017). Sur ce point également, le recours ne peut donc qu’être rejeté.</w:t>
      </w:r>
    </w:p>
    <w:p>
      <w:r>
        <w:rPr>
          <w:b/>
        </w:rPr>
        <w:t>E. 10</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b)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w:t>
      </w:r>
    </w:p>
    <w:p>
      <w:r>
        <w:t>A/3726/2017 - 11/12 - Aucune indemnité ne sera versée dans les cas où un taux inférieur à 5 % du montant maximum du gain assuré serait appliqué (ch. 2 de l'annexe 3).</w:t>
      </w:r>
    </w:p>
    <w:p>
      <w:r>
        <w:rPr>
          <w:b/>
        </w:rPr>
        <w:t>E. 11</w:t>
      </w:r>
    </w:p>
    <w:p>
      <w:r>
        <w:t>En l’espèce, aucune séquelle n’a été constatée, ni au niveau de la cheville gauche, ni à celui du poignet droit. La recourante se contente de réclamer une IPAI dont elle fixe arbitrairement à 20%, sans motiver aucunement sa prétention, que ce soit en expliquant pour quelle atteinte exactement elle la sollicite, ou la manière dont elle parvient au taux mentionné. Sur ce point également, le recours doit être rejeté. Pour le surplus, la procédure est gratuite (art. 61 let. a LPGA).</w:t>
      </w:r>
    </w:p>
    <w:p>
      <w:r>
        <w:t>A/3726/2017 - 12/12 -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