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ATAS/607/2024 vom 13. August 2024</w:t>
      </w:r>
    </w:p>
    <w:p>
      <w:r>
        <w:t>GE Cour de justice, 2024-08-13, FR</w:t>
      </w:r>
    </w:p>
    <w:p>
      <w:r>
        <w:rPr>
          <w:b/>
        </w:rPr>
        <w:t xml:space="preserve">Quelle: </w:t>
      </w:r>
      <w:r>
        <w:t>https://mcp.opencaselaw.ch/entscheid/ge_gerichte_ATAS_607_2024</w:t>
      </w:r>
    </w:p>
    <w:p>
      <w:r>
        <w:t>FR: GE_GERICHTE ATAS/607/2024 du 13 août 2024</w:t>
      </w:r>
    </w:p>
    <w:p>
      <w:r>
        <w:t>IT: GE_GERICHTE ATAS/607/2024 del 13 agosto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t>A/3171/2023 - 6/21 -</w:t>
      </w:r>
    </w:p>
    <w:p>
      <w:r>
        <w:rPr>
          <w:b/>
        </w:rPr>
        <w:t>E. 1.3</w:t>
      </w:r>
    </w:p>
    <w:p>
      <w:r>
        <w:t>Interjeté dans la forme et le délai – de trente jours – prévus par la loi, le recours est recevable (art. 38 al. 3 et 56 ss LPGA ainsi que 62 ss de la loi sur la procédure administrative du 12 septembre 1985 [LPA - E 5 10]).</w:t>
      </w:r>
    </w:p>
    <w:p>
      <w:r>
        <w:rPr>
          <w:b/>
        </w:rPr>
        <w:t>E. 2</w:t>
      </w:r>
    </w:p>
    <w:p>
      <w:r>
        <w:t>L'objet du litige porte uniquement sur le droit éventuel du recourant à une rente AI, conformément à ses conclusions de recours.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1er janvier 2022. Toutefois, un éventuel droit à une rente d'invalidité serait né au plus tôt en mai 2019, dès lors que l’incapacité de travail (art. 6 LPGA) d’au moins 40% en moyenne invoquée par l’intéressé aurait duré au moins une année sans interruption notable (cf. art. 28 al. 1 let. b LAI) à partir du 26 août 2016 et dès lors que la demande de prestations avait été déposée le 11 décembre 2018 (cf. art. 29 al. 1 LAI à teneur duquel le droit à la rente prend naissance au plus tôt à l'échéance d'une période de six mois à compter de la date à laquelle l'assuré a fait valoir son droit aux prestations), de sorte que les dispositions légales applicables seront citées dans leur ancienne teneur. A fortiori, en référence à la modification de l'art. 26bis al. 3 RAI du 18 octobre 2023 (« déduction forfaitaire » ; RO 2023 635) entrée en vigueur le 1er janvier 2024, et compte tenu des principes généraux de droit intertemporel</w:t>
      </w:r>
    </w:p>
    <w:p>
      <w:r>
        <w:t>A/3171/2023 - 7/21 - susmentionnés (cf. aussi Office fédéral des assurances sociales [OFAS], Circulaire sur l’invalidité et les rentes dans l’assurance-invalidité [CIRAI], état au 1er janvier 2024, ch. 9201), le droit éventuel à une rente d'invalidité étant ici né antérieurement au 1er janvier 2024 (cf. art. 29 al. 1 LAI), l'art. 26bis al. 3 RAI est en tout état de cause applicable dans sa teneur en vigueur jusqu'au 31 décembre 2023.</w:t>
      </w:r>
    </w:p>
    <w:p>
      <w:r>
        <w:rPr>
          <w:b/>
        </w:rPr>
        <w:t>E. 4.1</w:t>
      </w:r>
    </w:p>
    <w:p>
      <w:r>
        <w:t>En vertu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la version antérieure indiquant « dans son domaine d'activité » plutôt que « qui entre en considération »).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4.2</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28 al. 2 LAI, l'assuré a droit à une rente entière s'il est invalide à 70% au moins, à un trois quarts de rente s'il est invalide à 60% au moins, à une demi- rente s'il est invalide à 50% au moins, ou à un quart de rente s'il est invalide à 40% au moins.</w:t>
      </w:r>
    </w:p>
    <w:p>
      <w:r>
        <w:t>A/3171/2023 - 8/21 -</w:t>
      </w:r>
    </w:p>
    <w:p>
      <w:r>
        <w:rPr>
          <w:b/>
        </w:rPr>
        <w:t>E. 4.3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w:t>
      </w:r>
    </w:p>
    <w:p>
      <w:r>
        <w:rPr>
          <w:b/>
        </w:rPr>
        <w:t>E. 4.3.1</w:t>
      </w:r>
    </w:p>
    <w:p>
      <w:r>
        <w:t>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maladies (ci-après : CIM) ou le DSM-IV (Diagnostic and Statistical Manual) (ATF 143 V 409 consid. 4.5.2 ; 141 V 281 consid. 2.1 et 2.1.1 ;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Cette procédure d’administration des preuves est notamment applicable à la fibromyalgie (cf. ATF 132 V 65 consid. 4.1).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4.3.2</w:t>
      </w:r>
    </w:p>
    <w:p>
      <w:r>
        <w:t>Ainsi, selon la jurisprudence, en cas de troubles psychiques, la capacité de travail réellement exigible doit être évaluée dans le cadre d'une procédure</w:t>
      </w:r>
    </w:p>
    <w:p>
      <w:r>
        <w:t>A/3171/2023 - 9/21 -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4.3.3</w:t>
      </w:r>
    </w:p>
    <w:p>
      <w:r>
        <w:t>Il est notamment relevé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w:t>
      </w:r>
    </w:p>
    <w:p>
      <w:r>
        <w:t>A/3171/2023 - 10/21 -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Le trouble de stress post-traumatique (CIM-10 ; F43) constitue une réponse différée ou prolongée à une situation ou à un événement stressant (de courte ou de longue durée), exceptionnellement menaçant ou catastrophique et qui provoquerait des symptômes évidents de détresse chez la plupart des individus. Dans certains cas, le trouble peut présenter une évolution chronique, durer de nombreuses années, et entraîner une modification durable de la personnalité (ATF 142 V 342 consid. 5.1 et les références). Selon la jurisprudence, pour que le diagnostic d'état de stress post-traumatique de survenue différée puisse être retenu, l'ensemble des critères diagnostiques du DSM-5 et de la CIM-10 doit être présent au plus tard six mois après l'événement (cf. ATF 142 V 342 consid. 5.2.2). Une motivation particulière est nécessaire dans les cas où, exceptionnellement et pour des motifs déterminés, une durée supérieure à six mois doit être prise en compte (cf. arrêts du Tribunal fédéral 9C_571/2023 du 11 janvier 2024 consid. 6.2 et la référence ; 9C_480/2021 du 8 novembre 2022 consid. 5.3.2 et les références).</w:t>
      </w:r>
    </w:p>
    <w:p>
      <w:r>
        <w:rPr>
          <w:b/>
        </w:rPr>
        <w:t>E. 4.4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4.4.1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w:t>
      </w:r>
    </w:p>
    <w:p>
      <w:r>
        <w:t>A/3171/2023 - 11/21 -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4.4.2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w:t>
      </w:r>
    </w:p>
    <w:p>
      <w:r>
        <w:t>A/3171/2023 - 12/21 -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4.5</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4.5.1</w:t>
      </w:r>
    </w:p>
    <w:p>
      <w:r>
        <w:t>Chez les assurés actifs – comme le recourant l’est reconnu par l’intimé –,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w:t>
      </w:r>
    </w:p>
    <w:p>
      <w:r>
        <w:rPr>
          <w:b/>
        </w:rPr>
        <w:t>E. 4.5.2</w:t>
      </w:r>
    </w:p>
    <w:p>
      <w:r>
        <w:t>Pour fixer le revenu sans invalidité, il faut établir ce que l'assuré aurait – au degré de la vraisemblance prépondérante – réellement pu obtenir au moment déterminant s'il n'était pas invalide (ATF 139 V 28 consid. 3.3.2 ;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144 I 103 consid. 5.3 ; 139 V 28 consid. 3.3.2). Le salaire réalisé en dernier lieu comprend tous les revenus d'une activité lucrative (y compris les gains accessoires, la rémunération des heures supplémentaires effectuées de manière régulière) soumis aux cotisations à l'assurance-vieillesse et survivants (AVS). A cet effet, on se fondera en principe sur les renseignements fournis par l'employeur (arrêt du Tribunal fédéral 9C_434/2023 du 30 novembre 2023 consid. 3 et la référence). Ce n'est qu'en présence de circonstances particulières qu'il peut se justifier qu'on s'en écarte et que – comme l’a fait ici l’intimé dans sa décision querellée – on recourt aux données statistiques résultant de l’Enquête suisse sur la structure des salaires (ci-après : ESS) éditée par l'Office fédéral de la statistique (ci-après : OFS ; arrêts du Tribunal fédéral I 201/06 du 14 juillet 2006 consid. 5.2.3 ; I 774/01 du 4 septembre 2002). Tel sera le cas lorsqu'on ne dispose</w:t>
      </w:r>
    </w:p>
    <w:p>
      <w:r>
        <w:t>A/3171/2023 - 13/21 -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I 168/05 du 24 avril 2006 consid. 3.3 ;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Lorsque les revenus avec et sans invalidité sont basés sur la même tabelle statistique, il n'est pas nécessaire de les chiffrer précisément, dans la mesure où le taux d'invalidité se confond avec le taux d'incapacité de travail. Dans ce cas, le degré d'invalidité correspond en effet au degré d'incapacité de travail, compte tenu d'une éventuelle déduction du salaire fondé sur les statistiques, qui ne doit pas dépasser 25%. Il ne s’agit pas d’une « comparaison en pour-cent » au sens de l'ATF 114 V 310 consid. 3a, mais d’une simplification purement arithmétique (arrêt du Tribunal fédéral 8C_111/2023 du 12 octobre 2023 consid. 6.2 et les références). Même s'il n'est pas indispensable de déterminer avec précision les salaires de références, il n'en demeure pas moins que, dans cette situation, l'évaluation de l'invalidité repose sur des données statistiques. Par conséquent, une réduction supplémentaire du revenu d'invalide est possible (arrêt du Tribunal fédéral 9C_842/2018 du 7 mars 2019 consid. 5.1 et les références).</w:t>
      </w:r>
    </w:p>
    <w:p>
      <w:r>
        <w:rPr>
          <w:b/>
        </w:rPr>
        <w:t>E. 4.5.3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w:t>
      </w:r>
    </w:p>
    <w:p>
      <w:r>
        <w:t>A/3171/2023 - 14/21 -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Dans un arrêt récent, le Tribunal fédéral a rappelé qu’en ce qui concerne le critère de l'âge comme facteur d'abattement du salaire statistique, il y a lieu de tenir compte de l'interdépendance des facteurs personnels et professionnels entrant en ligne de compte qui contribuent à désavantager la personne assurée sur le marché du travail après une absence prolongée.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Aussi, en présence d'un assuré de plus de 50 ans, la jurisprudence insiste sur l'effet de l'âge combiné avec un handicap, qui doit faire l'objet d'un examen dans le cas concret (arrêt du Tribunal fédéral 9C_341/2023 du 29 janvier 2024 consid. 6.2.3 et les références), étant en outre précisé que les possibles effets pénalisants au niveau salarial induits par cette constellation aux yeux d'un potentiel employeur peuvent être compensés par d'autres éléments personnels ou professionnels tels que la formation et l'expérience professionnelle de l'assuré concerné (arrêt du Tribunal fédéral 8C_227/2017 du 17 mai 2018 consid. 5).</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A/3171/2023 - 15/21 -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5.1</w:t>
      </w:r>
    </w:p>
    <w:p>
      <w:r>
        <w:t>En l’espèce, le rapport d'expertise des Drs J______ et K______, établi le 21 août 2022, répond, sur le plan formel, aux exigences posées par la jurisprudence pour qu'on puisse lui accorder une pleine valeur probante. En effet, cette expertise bidisciplinaire a été conduite par des médecins spécialisés dans les deux domaines concernés – neurologie et psychiatrie –, en vue d'établir une synthèse des différentes pathologies de l'expertisé, sur la base d'observations approfondies et d'investigations complètes, ainsi qu'en pleine connaissance du dossier. Les experts ont personnellement examiné le recourant préalablement à l'établissement de leur rapport d'expertise, et ils ont consigné les renseignements anamnestiques pertinents, recueilli les plaintes de l'assuré et résumé leurs propres constatations. Ils ont en outre énoncé les diagnostics retenus et répondu à toutes les questions posées. Enfin, les conclusions des experts sont claires et bien motivées. Selon les experts, la capacité de travail de l’expertisé est nulle dans l’activité habituelle de pilote d’avion (pour des motifs somatiques). Dans une autre activité, sans accélération ni décélération de la vitesse du corps, ni mouvements répétés de la colonne cervicale, sa capacité de travail est de 0% du 26 août au 25 novembre 2016 au plan somatique et de fin 2016 à début 2017 (vu l’hospitalisation dans une clinique psychiatrique privée) au plan psychique, et de 100% dès le 26 novembre 2016 au plan somatique et à partir de 2019 au plan strictement psychique. Aucune autre mesure médicale que ce qui était déjà mis en œuvre par les médecins traitants n’est préconisée.</w:t>
      </w:r>
    </w:p>
    <w:p>
      <w:r>
        <w:rPr>
          <w:b/>
        </w:rPr>
        <w:t>E. 5.2</w:t>
      </w:r>
    </w:p>
    <w:p>
      <w:r>
        <w:t>Aucun indice concret ne permet de douter du bien-fondé de ce rapport d’expertise et de ses conclusions, pour les motifs qui suivent.</w:t>
      </w:r>
    </w:p>
    <w:p>
      <w:r>
        <w:rPr>
          <w:b/>
        </w:rPr>
        <w:t>E. 5.2.1</w:t>
      </w:r>
    </w:p>
    <w:p>
      <w:r>
        <w:t>Il est d’emblée relevé que ni le recourant ni ses médecins traitants ne remettent en cause de manière précise une des constatations qui s’y trouve rapportée, si ce n’est quelques points de détail (dates du séjour en division d’oncologie en 2001, date de sortie de l’hospitalisation en 2017), et que, par l’intermédiaire de sa précédente avocate, l’expertisé apparaît avoir été autorisé le 22 septembre 2023 par l’OAI à accéder à l’enregistrement sonore effectué lors de l’expertise.</w:t>
      </w:r>
    </w:p>
    <w:p>
      <w:r>
        <w:rPr>
          <w:b/>
        </w:rPr>
        <w:t>E. 5.2.2</w:t>
      </w:r>
    </w:p>
    <w:p>
      <w:r>
        <w:t>Au plan somatique, plus précisément neurologique, les experts retiennent les diagnostics incapacitant d’« occlusion de l’artère carotide interne gauche suite à</w:t>
      </w:r>
    </w:p>
    <w:p>
      <w:r>
        <w:t>A/3171/2023 - 16/21 - une dissection provoquée par traumatisme facial avec chute en 2016 », et non incapacitant de « migraine sans aura ». Dans son acte de recours, l’intéressé mentionne notamment un rapport du docteur M______, neurologue au sein de l’Hôpital de La Tour, qui fait selon lui état d’« une possible atteinte du nerf ophtalmique gauche à long terme suite à la dissection dont [il a] fait l’objet ». Une telle éventuelle atteinte n’apparaît donc en l’état que possible et ne peut dès lors pas être prise en compte. Au demeurant, dans son rapport du 4 novembre 2017, le Dr F______, ophtalmologue FMH, se référant à la dissection de la carotide gauche en 2016, fait état d’un examen ophtalmologique dans les limites de la norme, en particulier sans signe au niveau de la rétine gauche montrant une éventuelle atteinte de la vascularisation. Certes, dans son rapport du 7 novembre 2022, le Prof. G______ pense, sous « taux d’invalidité médico-théorique », que, dans le cadre d’« accès douloureux de type migraine » et d’un syndrome de stress post-traumatique qui sont d’après lui en lien avec la dissection carotidienne, le taux de 40% est proche de la réalité médicale et, sous « capacité résiduelle de travail », que « le patient dispose d’une capacité de travail de 80% dans une activité adaptée, cela surtout en raison du stress post-traumatique qui joue un rôle au niveau de la concentration et de l’attention », avec la précision que le syndrome de stress post-traumatique « se rencontre très fréquemment chez des patients jeunes victimes de dissection ». Ce faisant, ce spécialiste en neurologie n’indique pas clairement que les migraines auraient un effet incapacitant et, pour le reste, il ne conteste de manière précise aucun point du rapport d’expertise, si ce n’est l’absence de prise en compte par les experts d’un syndrome de stress post-traumatique. Or, il n’est pas spécialiste en psychiatrie et donc sans compétence particulière pour poser de manière probante un tel diagnostic qui est de nature psychiatrique.</w:t>
      </w:r>
    </w:p>
    <w:p>
      <w:r>
        <w:rPr>
          <w:b/>
        </w:rPr>
        <w:t>E. 5.2.3</w:t>
      </w:r>
    </w:p>
    <w:p>
      <w:r>
        <w:t>Au plan psychique, les experts ne retiennent aucun diagnostic incapacitant, mais seulement les diagnostics non incapacitants de « trouble dépressif récurrente actuellement en rémission » (F33.4), « troubles anxieux sans précision » (F41.9) et « trait de personnalité anxieuse » (F60.6). Tout d’abord, contrairement à ce prétend le recourant représenté par son conseil, le rapport d’expertise applique la procédure probatoire structurée et analyse les indicateurs développés par la jurisprudence du Tribunal fédéral, notamment aux niveaux des diagnostics, du complexe « Personnalité », des ressources (internes et externes), du contexte social et de la cohérence. Ensuite, certes, selon le rapport du 1er décembre 2022 de la Dre H______, le rapport d’expertise minimise le traumatisme psychique lié à l’impossibilité d’exercer son métier de pilote, alors que ce dernier constituait selon l’intéressé « toute sa vie », de même qu’une grande partie de son identité. De plus, l’impression de vivre avec une épée de Damoclès au-dessus de la tête depuis la découverte de sa dissection carotidienne est un facteur de stress non négligeable</w:t>
      </w:r>
    </w:p>
    <w:p>
      <w:r>
        <w:t>A/3171/2023 - 17/21 - au quotidien. Le patient a subi une suite non négligeable d’événements traumatiques : la perte de son père à 7 ans puis la vie auprès d’une mère ne se remettant pas de son deuil et s’occupant peu de lui, un cancer (maladie de Hodgkin) à l’âge de 30 ans qui a nécessité deux ans de traitement, un divorce en 2009 et finalement un accident qui ne lui permet plus d’exercer son métier de pilote dès 2016. On peut imaginer que ces différents traumatismes ont constitué un « trouble de stress post- traumatique complexe » selon la nouvelle CIM-11, trouble qui a des répercussions sur la régulation des affects, la perception de soi ainsi que le fonctionnement relationnel, symptômes dont souffre l’intéressé. Par ailleurs, toujours d’après la psychiatre traitante, « le traitement ainsi que le suivi dont bénéficie le patient [ont] permis d’éviter une rechute dépressive grave ainsi qu’une nouvelle hospitalisation, mais [sa] collègue Mme L______ qui suit le patient en psychothérapie depuis 2019, a constaté une importante labilité émotionnelle ainsi que des relations interpersonnelles compliquées (trouble de la personnalité) qui justifie une incapacité de travail à 50%. Cela n’est probablement pas apparu lors de l’expertise qui s’est déroulée sur un rendez-vous ponctuel ». Toutefois, ce rapport fait état d’une appréciation différente de celle des experts, sans contenir des informations précises de nature à mettre en doute certaines constatations, appréciations ou conclusions du rapport d’expertise. Un trouble lié à un stress post-traumatique évoqué dans ce rapport du 1er décembre 2022 ne fait l’objet ni d’un diagnostic ni d’une analyse précis de la part de la Dre H______. Au demeurant, le rapport d’expertise explique pour quels motifs un tel diagnostic n’est pas retenu (p. 6). En outre, le rapport d’expertise ne fait pas état de ce qui suit : « Les symptômes typiques [qui] comprennent la reviviscence répétée de l'événement traumatique, dans des souvenirs envahissants ("flashbacks"), des rêves ou des cauchemars ; ils surviennent dans un contexte durable d'anesthésie psychique et d'émoussement émotionnel, de détachement par rapport aux autres, d'insensibilité à l'environnement, d'anhédonie et d'évitement des activités ou des situations pouvant réveiller le souvenir du traumatisme » (F43.1 – État de stress post-traumatique, dans « CIM-10-GM 2021 Index systématique – Version française », 2020, édité par l’OFS et téléchargeable sur internet depuis « https://www.bfs.admin.ch/asset/fr/15284911 ») ; mais il décrit seulement, sous « status psychiatrique », « anxiété et dissociation » : « pas de crise de panique, présence d’anxiété diffuse, absence d’évitement, absence de flash-back, absence d’agitation, absence de fébrilité, ne porte pas un flacon d’eau pour se désaltérer, une tension anxieuse est palpable, il n’y a pas de scarification observée par l’expert, présence d’une difficulté à se détendre, présence d’un nœud à l’estomac » (p. 20). Pour le surplus, contrairement à ce qui est requis par la jurisprudence citée plus haut pour la reconnaissance du diagnostic d'état de stress post-traumatique de survenue différée, aucun élément du dossier ne tend à montrer que l'ensemble des critères diagnostiques du DSM-5 et de la CIM-10 aurait été présent au plus tard six mois après l'événement à tout le moins de 2016.</w:t>
      </w:r>
    </w:p>
    <w:p>
      <w:r>
        <w:t>A/3171/2023 - 18/21 - Par ailleurs, le diagnostic de « trouble de la personnalité mixte avec traits dépendants et immatures » (F61) mentionné dans le rapport du 1er décembre 2022 de la Dre H______ et déjà posé le 30 janvier 2022 par celle-ci ne constitue qu’une appréciation différente de l’état psychique de l’intéressé par rapport aux « troubles anxieux sans précision » (F41.9) et au « trait de personnalité anxieuse » (F60.6) retenus par les experts de manière convaincante. Il convient à ce sujet de se référer à ce qui est cité plus haut concernant le « status psychiatrique », « anxiété et dissociation ». En outre, dans le chapitre du rapport d’expertise « anamnèse psychiatrique systématique », sous « angoisse et dissociation », il est noté : « Présence de rumination, présence intermittente d’être à bout, pas de trouble de l’endormissement, présence d’une fatigabilité, présence d’une agitation psychique, présence d’une difficulté à se détendre » (p. 19). De surcroît, dans le chapitre « diagnostics », sous « analyse de diagnostics et discussion », les experts écrivent entre autres : « La personne assurée présente un sentiment persistant de tension, une sensibilité à la critique et des ruminations d’anticipation sans que ces signes cliniques constituent des entraves à l’exercice d’une activité professionnelle » (p. 22). Les problèmes d’anxiété et de relations interpersonnelles sont donc dûment pris en considération par les experts, qui relèvent de plus que l’expertisé est « au bénéfice d’une psychothérapie à raison d’une séance toutes les deux semaines et d’un traitement d’Escitalopram de 30 mg/j » (p. 23). Au demeurant, la description d’une journée type dans le rapport d’expertise (cf. p. 11) ne montre pas de difficultés particulières, notamment pas dans les tâches ménagères, quand bien même l’expertisé déclare qu’il vit très mal les insécurités et dort très mal s’il a un conflit avec sa compagne (cf. p. 19). Pour le reste, les experts mentionnent au plan psychique, sous « ressources » : « le soutien de sa compagne, l’intérêt pour l’aviation, le plaisir d’aider les personnes âgées, ses amis » ; sous « facteurs de surcharges » : « l’anxiété de subir un accident vasculaire cérébral » (p. 8). L’assuré apparaît ainsi disposer de ressources externes, avec la présence d’amis et la vie commune avec sa compagne, et internes, comme le manifeste le fait qu’il exerce de manière régulière une activité bénévole en faveur des personnes âgées.</w:t>
      </w:r>
    </w:p>
    <w:p>
      <w:r>
        <w:rPr>
          <w:b/>
        </w:rPr>
        <w:t>E. 5.2.4</w:t>
      </w:r>
    </w:p>
    <w:p>
      <w:r>
        <w:t>À teneur du courrier du 16 janvier 2024 du Prof. G______ apportant des réponses à un courriel du 15 janvier 2024 du conseil de l’assuré, un bilan des artères au niveau abdominal a été effectué, mettant en évidence une atteinte de l’artère rénale droite et aussi de l’artère iliaque commune gauche ; concernant cette dernière artère, un CT-scan des membres inférieurs a révélé une dissection anévrismale de l’artère iliaque commune gauche à son origine, raison pour laquelle un bilan angiologique est encore prévu. Par ailleurs, ledit neurologue a revu le patient en septembre 2023 pour des maux de tête intenses et relativement fréquents ; il a instauré un traitement de fond médicamenteux associé à un traitement par un stimulateur, étant en outre précisé que l’intéressé ne peut pas prendre un traitement antimigraineux spécifique lors des crises (les triptans) en</w:t>
      </w:r>
    </w:p>
    <w:p>
      <w:r>
        <w:t>A/3171/2023 - 19/21 - raison de ses antécédents de dissection ; ces crises fréquentes induisent naturellement des limitations fonctionnelles sur ses capacités de concentration et d’attention. De telles éventuelles aggravations de l’état de santé par rapport à la situation prévalant jusqu’au prononcé de ladite décision, si elles étaient avérées, ne se seraient produites qu’après le prononcé de ladite décision querellée rendue le 30 août 2023 et ne pourraient donc pas être prises en considération dans le cadre du présent arrêt.</w:t>
      </w:r>
    </w:p>
    <w:p>
      <w:r>
        <w:rPr>
          <w:b/>
        </w:rPr>
        <w:t>E. 5.3</w:t>
      </w:r>
    </w:p>
    <w:p>
      <w:r>
        <w:t>En définitive, il n’existe aucun motif de s’écarter des conclusions des experts et du SMR selon lesquelles, à tout le moins jusqu’au prononcé de la décision querellée, la capacité de travail du recourant était nulle dans l’activité habituelle et une activité adaptée depuis le 26 août 2016, mais entière dans une activité adaptée dès 2019, ou, selon le SMR, à partir de 2017. Les limitations fonctionnelles sont : « pas d’accélération et de décélération de la vitesse du corps, pas de mouvements répétés de la colonne cervicale, pas de microtraumatisme par percussion et/ou vibration (marteaux piqueurs, e.g.), pas d’activité en conditions de variation de la pression atmosphérique (plongée sous-marine, environnement avec pressurisation instable etc.) ».</w:t>
      </w:r>
    </w:p>
    <w:p>
      <w:r>
        <w:rPr>
          <w:b/>
        </w:rPr>
        <w:t>E. 5.4</w:t>
      </w:r>
    </w:p>
    <w:p>
      <w:r>
        <w:t>Pour le reste, « au vu des circonstances objectives et subjectives (économies quasi épuisées et aide financière de sa compagne) », l’exercice d’une activité lucrative étant ainsi nécessaire pour subvenir à ses besoins, l’assuré est considéré comme actif par l’OAI (« note statut » du 31 août 2020). En outre, dans la décision attaquée, le revenu de l’intéressé sans et avec invalidité est basé sur la même tabelle statistique, dans la mesure où il est difficile de déterminer avec précision le revenu sans invalidité au vu de son parcours professionnel, de ses gains fluctuants ainsi que de l’absence de revenu depuis quelques années. Cette façon de procéder ne prête pas le flanc à la critique et n’est au demeurant pas défavorable au recourant, qui, avant son accident d’août 2016, ne percevait que de très faibles revenus de son activité indépendante de pilote, exercée apparemment de manière irrégulière, sur appel.</w:t>
      </w:r>
    </w:p>
    <w:p>
      <w:r>
        <w:rPr>
          <w:b/>
        </w:rPr>
        <w:t>E. 5.5</w:t>
      </w:r>
    </w:p>
    <w:p>
      <w:r>
        <w:t>L’abattement (réduction) de 10% sur le revenu d’invalide de l’assuré retenu par l’office, en raison de son âge et de ses limitations fonctionnelles, apparaît quant à lui également conforme au droit. En effet, les limitations fonctionnelles, telles que retenues par le SMR, ne sont certes pas négligeables, mais elles n’empêchent pas de manière substantielle le recourant de trouver une activité adaptée. En outre, si celui-ci était certes âgé de 52 ans au moment du prononcé de la décision litigieuse, il n’en demeure pas moins que son handicap n’est pas particulièrement important par rapport à un métier adapté et que l’intéressé dispose d’atouts pour retrouver un emploi (y compris début d’études en économie, formation complète et expérience de pilote</w:t>
      </w:r>
    </w:p>
    <w:p>
      <w:r>
        <w:t>A/3171/2023 - 20/21 - d’avion professionnel pouvant constituer une bonne référence pour un employeur potentiel, etc.).</w:t>
      </w:r>
    </w:p>
    <w:p>
      <w:r>
        <w:rPr>
          <w:b/>
        </w:rPr>
        <w:t>E. 6</w:t>
      </w:r>
    </w:p>
    <w:p>
      <w:r>
        <w:t>Vu ce qui précède, le degré d’invalidité, de 10%, étant inférieur au minimum de 40% requis pour le droit à une rente AI (cf. art. 28 LAI), la décision querellée est en tous points conforme au droit, et le recours sera dès lors rejeté. En référence au courrier du 16 janvier 2024 du Prof. G______, du fait que la rente d’invalidité est ici refusée parce que le degré d’invalidité est insuffisant, l’assuré, pour faire le cas échéant valoir en AI un changement important des circonstances propres à influencer le degré d'invalidité (par analogie avec l’art. 17 LPGA), devrait, par une demande de révision adressée à l’OAI, établir de façon plausible que l’invalidité s’est modifiée de manière à influencer ses droits (cf. art. 87 al. 2 et 3 RAI). Si tel était le cas, le degré d'invalidité devrait être fixé à nouveau sur la base d'un état de fait établi de manière correcte et complète, sans référence à des évaluations antérieures de l'invalidité (cf. ATF 141 V 9 ; 117 V 198 consid. 4b).</w:t>
      </w:r>
    </w:p>
    <w:p>
      <w:r>
        <w:rPr>
          <w:b/>
        </w:rPr>
        <w:t>E. 7</w:t>
      </w:r>
    </w:p>
    <w:p>
      <w:r>
        <w:t>La procédure n'étant pas gratuite (art. 69 al. 1bis LAI), un émolument de CHF 200.- (montant minimal) sera perçu du recourant.</w:t>
      </w:r>
    </w:p>
    <w:p>
      <w:r>
        <w:t>A/3171/2023 - 21/21 -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