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ATAS/607/2010 vom 21. August 2009</w:t>
      </w:r>
    </w:p>
    <w:p>
      <w:r>
        <w:t>GE Cour de justice, 2009-08-21, FR</w:t>
      </w:r>
    </w:p>
    <w:p>
      <w:r>
        <w:rPr>
          <w:b/>
        </w:rPr>
        <w:t xml:space="preserve">Quelle: </w:t>
      </w:r>
      <w:r>
        <w:t>https://mcp.opencaselaw.ch/entscheid/ge_gerichte_ATAS_607_2010</w:t>
      </w:r>
    </w:p>
    <w:p>
      <w:r>
        <w:t>FR: GE_GERICHTE ATAS/607/2010 du 21 août 2009</w:t>
      </w:r>
    </w:p>
    <w:p>
      <w:r>
        <w:t>IT: GE_GERICHTE ATAS/607/2010 del 21 agosto 2009</w:t>
      </w:r>
    </w:p>
    <w:p>
      <w:pPr>
        <w:pStyle w:val="Heading2"/>
      </w:pPr>
      <w:r>
        <w:t>Erwägungen</w:t>
      </w:r>
    </w:p>
    <w:p>
      <w:r>
        <w:rPr>
          <w:b/>
        </w:rPr>
        <w:t>E. 1</w:t>
      </w:r>
    </w:p>
    <w:p>
      <w:r>
        <w:t>Conformément à l'art. 56V al. 1 let. a ch. 8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t>A/3867/2009 - 4/8 -</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ATF 129 V 1 consid. 1.2 ). Les règles de procédure quant à elles s’appliquent sans réserve dès le jour de son entrée en vigueur (ATF 117 V 71 consid. 6b, 112 V 356 consid. 4a). La LPGA s’applique donc au cas d’espèce.</w:t>
      </w:r>
    </w:p>
    <w:p>
      <w:r>
        <w:rPr>
          <w:b/>
        </w:rPr>
        <w:t>E. 3</w:t>
      </w:r>
    </w:p>
    <w:p>
      <w:r>
        <w:t>Interjeté dans les forme et délai prévus par la loi, le présent recours est recevable (art. 56 à 60 LPGA).</w:t>
      </w:r>
    </w:p>
    <w:p>
      <w:r>
        <w:rPr>
          <w:b/>
        </w:rPr>
        <w:t>E. 4</w:t>
      </w:r>
    </w:p>
    <w:p>
      <w:r>
        <w:t>Le litige porte sur la question de savoir si c’est à bon droit que l’intimé a prononcé une suspension du droit à l’indemnité de chômage de six jours.</w:t>
      </w:r>
    </w:p>
    <w:p>
      <w:r>
        <w:rPr>
          <w:b/>
        </w:rPr>
        <w:t>E. 5</w:t>
      </w:r>
    </w:p>
    <w:p>
      <w:r>
        <w:t>Aux termes de l'art. 17 al. 1 LACI, l’assuré est tenu d’entreprendre, avec l’assistance de l’office du travail, tout ce qu’on peut raisonnablement exiger de lui pour éviter le chômage ou l’abréger. En particulier, il lui incombe de chercher du travail, au besoin en dehors de la profession qu’il exerçait précédemment. S’il ne fait pas son possible pour trouver un travail convenable, l’assuré est suspendu dans l’exercice de son droit à l’indemnité (art. 30 al. 1 let. c LACI). L’office compétent contrôle chaque mois les recherches d’emploi de l’assuré, qui doit pouvoir apporter la preuve des efforts qu’il a fournis (art. 26 al. 2 et 3 OACI). Par ailleurs, l'assuré doit satisfaire à son obligation de rechercher un emploi avant le début du chômage déjà, cas échéant durant le délai de résiliation de l'emploi occupé par l'assuré jusque-là (ATF du 22 octobre 2002, C 305/01, consid. 1; RUBIN, Assurance-chômage, Droit fédéral, Survol des mesures cantonales, Procédure, 2ème éd., Zurich 2006, p. 388). Il s'agit là d'une règle élémentaire de comportement, si bien qu'un assuré doit être sanctionné s'il n'y satisfait pas, et ce même s'il n'a pas été renseigné précisément sur les conséquences de son inaction (ATF 8C_271/2008 du 25 septembre 2008, consid. 2.1; ATF du 29 septembre 2005, C 199/05, consid. 2.2; ATF 124 V 225, consid. 5b). Il ressort de ce qui précède que c’est en vain que le recourant invoque son ignorance du fait qu’il devait procéder à un nombre minimal de recherches d’emploi durant son délai de congé.</w:t>
      </w:r>
    </w:p>
    <w:p>
      <w:r>
        <w:rPr>
          <w:b/>
        </w:rPr>
        <w:t>E. 6</w:t>
      </w:r>
    </w:p>
    <w:p>
      <w:r>
        <w:t>Quant à l’appréciation de la valeur des démarches effectuées, il convient de relever que, selon la jurisprudence, pour juger du caractère suffisant des efforts consentis par un assuré dans ses recherches d'emploi, il y a lieu de tenir compte non seulement de la quantité, mais aussi de la qualité des démarches entreprises (ATF 124 V 225 consid. 4). Il convient ainsi d'éviter tout schématisme dans l'examen des efforts requis de l'assuré (Boris RUBIN, op. cit., p. 392). Cela étant, le Tribunal fédéral admet un minimum de 10 à 12 postulations par mois, ce nombre</w:t>
      </w:r>
    </w:p>
    <w:p>
      <w:r>
        <w:t>A/3867/2009 - 5/8 - devant être légèrement abaissé en cas de recherches pour des postes très qualifiés (ATF du 20 mai 2008, C 296/02, consid. 3.2; ATF du 23 juillet 2002, C 82/02, consid. 2.2). Il y a encore lieu de souligner que selon la jurisprudence, lorsque l'assuré rencontre des difficultés à trouver un poste adapté sur le marché du travail, ses recherches doivent être d'autant plus intensives (ATF du 22 février 2007, C 16/07, consid. 3.1). En l'espèce, il est manifeste que le nombre d'offres effectuées par le recourant dans les trois mois qui ont précédé son inscription au chômage est nettement insuffisant au regard des critères rappelés ci-dessus, même en admettant que son profil relativement spécialisé justifie une certaine souplesse par rapport au nombre minimal de candidatures généralement requis. En particulier, la qualité des trois offres de service effectuées durant les mois d'avril et mai 2009 ne saurait compenser le fait qu’elles n’aient pas été plus nombreuses. Le recourant ne peut non plus tirer argument de la pénurie d'annonces publiées pour des postes adaptés à son profil. En effet, la rareté des postes lui correspondant aurait précisément dû le conduire à intensifier ses recherches, en procédant notamment à des offres spontanées qui, contrairement à ce qu'il allègue, ne sauraient être considérées comme d'emblée dénuées de succès. En se contentant de dix offres de service sur trois mois, le recourant n'a pas entrepris tout ce qui est raisonnablement exigible pour diminuer les risques d'émarger à l'assurance-chômage à l'issue de son délai de résiliation.</w:t>
      </w:r>
    </w:p>
    <w:p>
      <w:r>
        <w:rPr>
          <w:b/>
        </w:rPr>
        <w:t>E. 7</w:t>
      </w:r>
    </w:p>
    <w:p>
      <w:r>
        <w:t>Quant aux vacances dont le recourant tire argument pour expliquer sa situation, il sied de rappeler en premier lieu que, conformément à la jurisprudence, un assuré doit également satisfaire à son obligation de rechercher un emploi durant ses vacances, même si celles-ci se déroulent à l'étranger (ATF du 10 novembre 2009, 8C_399/2009, consid. 4.2). En second lieu, on relèvera que c'est précisément pour tenir compte de la difficulté à concilier repos et recherches d’emploi que le législateur a prévu que l'employeur ne peut en principe imposer à un travailleur de prendre ses vacances durant le délai de congé lorsque ce dernier n’excède pas trois mois (Gabriel Aubert, Commentaire romand, n. 3 ad art. 329c CO ; cf. également ATF 128 III 271, consid. 4a/bb). De plus, aux termes de l'art. 11 al. 4 LACI, la perte de travail est prise en considération indépendamment du fait que l'assuré a touché une indemnité de vacances à la fin de ses rapports de travail. Cette disposition a précisément pour but d'éviter que l'assuré soit contraint de prendre dès la survenance du chômage les jours de vacances auxquels il a encore droit au terme de son dernier rapport de travail (ATF du 11 avril 2006, C 330/05, consid. 5.1). Dès lors, on ne saurait reprocher à l'intimé d’avoir « nié le droit du recourant à des vacances » ainsi que le soutient ce dernier puisqu'il lui était loisible de les reporter à</w:t>
      </w:r>
    </w:p>
    <w:p>
      <w:r>
        <w:t>A/3867/2009 - 6/8 - une date ultérieure afin de se consacrer dans l'intervalle à ses recherches d'emploi, voire d'en obtenir le paiement en espèces et de bénéficier des jours de vacances correspondant une fois ses recherches de travail abouties, avant de commencer son nouvel emploi.</w:t>
      </w:r>
    </w:p>
    <w:p>
      <w:r>
        <w:rPr>
          <w:b/>
        </w:rPr>
        <w:t>E. 8</w:t>
      </w:r>
    </w:p>
    <w:p>
      <w:r>
        <w:t>Enfin, il convient d’examiner le bien-fondé de la quotité de la sanction infligée au recourant. L'art. 30 al. 1 let. c LACI prévoit une sanction en cas de violation de l'obligation de diminuer le dommage consacrée à l'art. 17 al. 1 LACI. La suspension du droit à l'indemnité est destinée à poser une limite à l'obligation de l'assurance-chômage d'allouer des prestations que l'assuré aurait pu éviter ou réduire. En tant que sanction administrative, elle a pour but de faire répondre l'assuré, d'une manière appropriée, du préjudice causé à l'assurance-chômage par son comportement fautif (ATF du 16 avril 2008, 8C_316/2007, consid. 2.1; ATF 133 V 89, consid. 6.2.2). Conformément à l'art. 45 al. 2 OACI, la durée de la suspension dans l'exercice du droit à l'indemnité est proportionnelle à la gravité de la faute: elle est de un à 15 jours en cas de faute légère, de 16 à 30 jours en cas de faute d'une gravité moyenne, et de 31 à 60 jours en cas de faute grave. Il y a lieu d’ajouter que le Secrétariat d'Etat à l'économie (SECO) a établi un barème, intitulé « échelle des suspensions à l’intention de l’autorité cantonale et des ORP » (ch. D72 de la circulaire relative à l’indemnité de chômage [IC]). Selon ce document, lorsque l’assuré n’a pas effectué de recherches d’emploi pendant le délai de congé, la durée de la suspension est de 4 à 6 jours lorsque le délai de congé est d’un mois, de 8 à 12 lorsque le délai de congé est de deux mois, et de 12 à 18 lorsque le délai de congé est de trois mois et plus. Lorsque l’assuré a fourni des efforts mais de manière insuffisante, la durée de la suspension est de 3 à 4 jours pour un délai de congé d’un mois, de 6 à 8 jours pour un délai de congé de deux mois et de 9 à 12 jours pour un délai de congé de trois mois et plus. Au sujet de cette circulaire, il convient de rappeler que l'art. 110 LACI autorise le SECO, en tant qu'autorité de surveillance chargée d'assurer l'application uniforme du droit, à donner des instructions aux organes d'exécution. La circulaire précitée, dont émane le barème appliqué pour déterminer la sanction du recourant, constitue une telle instruction et fait partie des ordonnances administratives dites interprétatives (ATF 127 V 57, consid. 3a). Une telle ordonnance ne lie pas le juge des assurances sociales. Cependant, ce dernier devra la prendre en considération dans sa décision, dans la mesure où elle relève d'une interprétation de la disposition légale applicable conforme à la loi et adaptée au cas d'espèce. A l'inverse, le juge s'écartera des ordonnances administratives dont le contenu n'est pas compatible avec la loi (ATF 125 V 377 consid. 1c). En l'espèce, le barème fixé par la circulaire du SECO reste dans le cadre légal de l'art. 45 al. 2 OACI, de sorte qu'il n'existe pas de motif de s'en écarter. De plus,</w:t>
      </w:r>
    </w:p>
    <w:p>
      <w:r>
        <w:t>A/3867/2009 - 7/8 - comme l'a à juste titre relevé l'intimé, la sanction prononcée par l'ORP à l'encontre du recourant se situe en-deçà de la fourchette normalement applicable à ce type de cas. Ainsi, la sanction prononcée respecte parfaitement le principe de proportionnalité.</w:t>
      </w:r>
    </w:p>
    <w:p>
      <w:r>
        <w:rPr>
          <w:b/>
        </w:rPr>
        <w:t>E. 9</w:t>
      </w:r>
    </w:p>
    <w:p>
      <w:r>
        <w:t>Eu égard aux considérations qui précèdent, la décision de l'intimé est parfaitement fondée. Partant, le recours est rejeté.</w:t>
      </w:r>
    </w:p>
    <w:p>
      <w:r>
        <w:t>A/3867/2009 - 8/8 -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