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ATAS/606/2019 vom 20. Juni 2019</w:t>
      </w:r>
    </w:p>
    <w:p>
      <w:r>
        <w:t>GE Cour de justice, 2019-06-20, FR</w:t>
      </w:r>
    </w:p>
    <w:p>
      <w:r>
        <w:rPr>
          <w:b/>
        </w:rPr>
        <w:t xml:space="preserve">Quelle: </w:t>
      </w:r>
      <w:r>
        <w:t>https://mcp.opencaselaw.ch/entscheid/ge_gerichte_ATAS_606_2019</w:t>
      </w:r>
    </w:p>
    <w:p>
      <w:r>
        <w:t>FR: GE_GERICHTE ATAS/606/2019 du 20 juin 2019</w:t>
      </w:r>
    </w:p>
    <w:p>
      <w:r>
        <w:t>IT: GE_GERICHTE ATAS/606/2019 del 20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56ss LPGA et 62ss LPA).</w:t>
      </w:r>
    </w:p>
    <w:p>
      <w:r>
        <w:rPr>
          <w:b/>
        </w:rPr>
        <w:t>E. 4</w:t>
      </w:r>
    </w:p>
    <w:p>
      <w:r>
        <w:t>Le litige porte sur le droit éventuel de l’assuré à des prestations de l’assurance- invalidité, plus particulièrement sur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A/1235/2018 - 8/11 -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w:t>
      </w:r>
    </w:p>
    <w:p>
      <w:r>
        <w:t>A/1235/2018 - 9/11 -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A/1235/2018 - 10/11 -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En l’espèce, force est de constater avec le SMR que le seul médecin à conclure à une capacité de travail diminuée au-delà de mai 2017 est le médecin traitant du recourant et que cette diminution n’est aucunement motivée. En effet, les spécialistes (ophtalmologue, rhumatologue) ont, eux, conclu, pour leur part, à une pleine capacité de travail dans toute activité adaptée aux limitations énoncées, limitations auxquelles se sont ajoutées celles induites par l’atteinte cardiovasculaire et qui apparaissent elles aussi respectées dans l’activité habituelle, laquelle, si elle s’exerce en position principalement assise, permet l’alternance des positions et n’implique ni efforts lourds, ni déplacements prolongés. En l’absence d’éléments médicaux objectifs permettant de motiver une réduction de la capacité de travail dans l’activité habituelle, c’est à juste titre que l’intimé a conclu à l’absence de perte de gain et, partant, a nié le droit à toute prestation. Au vu de ce qui précède, le recours est rejeté. Etant donné que depuis le 1er juillet 2006, la procédure n'est plus gratuite (art. 69 al. 1bis LAI), il y a lieu de condamner le recourant au paiement d'un émolument de CHF 200.-.</w:t>
      </w:r>
    </w:p>
    <w:p>
      <w:r>
        <w:t>A/1235/2018 - 11/11 -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