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ATAS/606/2015 vom 13. August 2015</w:t>
      </w:r>
    </w:p>
    <w:p>
      <w:r>
        <w:t>GE Cour de justice, 2015-08-13, FR</w:t>
      </w:r>
    </w:p>
    <w:p>
      <w:r>
        <w:rPr>
          <w:b/>
        </w:rPr>
        <w:t xml:space="preserve">Quelle: </w:t>
      </w:r>
      <w:r>
        <w:t>https://mcp.opencaselaw.ch/entscheid/ge_gerichte_ATAS_606_2015</w:t>
      </w:r>
    </w:p>
    <w:p>
      <w:r>
        <w:t>FR: GE_GERICHTE ATAS/606/2015 du 13 août 2015</w:t>
      </w:r>
    </w:p>
    <w:p>
      <w:r>
        <w:t>IT: GE_GERICHTE ATAS/606/2015 del 13 agosto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 expressément (art. 1 al. 1 LPC).</w:t>
      </w:r>
    </w:p>
    <w:p>
      <w:r>
        <w:t>A/3750/2014 - 6/11 - Il en va de même en matière de prestations complémentaires cantonales (cf. art. 1A let. b LPCC).</w:t>
      </w:r>
    </w:p>
    <w:p>
      <w:r>
        <w:rPr>
          <w:b/>
        </w:rPr>
        <w:t>E. 4</w:t>
      </w:r>
    </w:p>
    <w:p>
      <w:r>
        <w:t>Le litige porte sur le gain potentiel de l’époux de la recourante retenu par l’intimé dans le calcul des prestations complémentaires.</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w:t>
      </w:r>
    </w:p>
    <w:p>
      <w:r>
        <w:rPr>
          <w:b/>
        </w:rPr>
        <w:t>E. 6</w:t>
      </w:r>
    </w:p>
    <w:p>
      <w:r>
        <w:t>Conformément à l’art. 159 al. 3 du Code civil (CC - RS 210), les époux se doivent l’un à l’autre fidélité et assistance. Ainsi, lorsque l’époux a besoin de soins et de surveillance, ces tâches font incontestablement partie des obligations conjugales de l’épouse. Cependant, le devoir de contribuer à l’entretien de la famille au sens de l’art. 163 CC fait également partie des obligations des époux (arrêt du Tribunal fédéral des assurances P 18/99 du 22 septembre 2000 consid. 2b). Selon la jurisprudence rendue sur l'art. 163 CC,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(arrêt du Tribunal fédéral des assurances 5C.42/2002 du 26 septembre 2002 consid. 2.1).</w:t>
      </w:r>
    </w:p>
    <w:p>
      <w:r>
        <w:t>A/3750/2014 - 7/11 -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w:t>
      </w:r>
    </w:p>
    <w:p>
      <w:r>
        <w:rPr>
          <w:b/>
        </w:rPr>
        <w:t>E. 7</w:t>
      </w:r>
    </w:p>
    <w:p>
      <w:r>
        <w:t>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ordonnance sur les prestations complémentaires à l’assurance-vieillesse, survivants et invalidité (OPC- AVS/AI - RS 831.301)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 du Tribunal fédéral des assurances P 43/05 du 25 octobre 2006 consid. 3.2.3; arrêt du Tribunal fédéral 8C_574/2008 du 8 juin 2009 consid. 5.4).</w:t>
      </w:r>
    </w:p>
    <w:p>
      <w:r>
        <w:t>A/3750/2014 - 8/11 -</w:t>
      </w:r>
    </w:p>
    <w:p>
      <w:r>
        <w:rPr>
          <w:b/>
        </w:rPr>
        <w:t>E. 8</w:t>
      </w:r>
    </w:p>
    <w:p>
      <w:r>
        <w:t>En l’occurrence, il convient en premier lieu d’examiner la proposition de l’intimé tendant à la suspension de la procédure dans l’attente d’une décision de l’OAI sur le droit de l’époux de la recourante à une rente d’invalidité. Le Tribunal fédéral a eu l'occasion de rappeler qu'une suspension est indiquée lorsqu'il existe une connexité étroite entre les objets des procédures qui commande un examen global. Tel n'est cependant pas le cas lorsqu'un recours est interjeté contre une décision en matière de prestations complémentaires qui porte sur la question du gain hypothétique alors qu'une décision de l'assurance-invalidité portant sur la capacité de gain est pendante, puisque les objets de la procédure sont distincts (arrêt du Tribunal fédéral 8C_574/2008 du 8 juin 2009 consid. 4.2). En application de cette jurisprudence, la chambre de céans peut statuer dans la présente cause sans attendre l’issue de la procédure opposant l’époux de la recourante à l’OAI. On rappellera par ailleurs que, si l’OAI devait reconnaître à l’époux de la recourante le droit à une rente, il conviendrait alors d’appliquer l’art. 22 al. 1 OPC- AVS/AI. Celui-ci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En vertu de cette disposition et à ces conditions, le calcul des prestations complémentaires éventuellement dues au mari de la recourante pourrait donc être repris et ce, dès la date d’octroi éventuel d’une rente d’invalidité.</w:t>
      </w:r>
    </w:p>
    <w:p>
      <w:r>
        <w:rPr>
          <w:b/>
        </w:rPr>
        <w:t>E. 9</w:t>
      </w:r>
    </w:p>
    <w:p>
      <w:r>
        <w:t>Le Dr F______ a retenu que l’époux de la recourante dispose d’une capacité de travail de 50% depuis le 1er décembre 2013. L’élément déterminant pour la valeur probante d’un rapport médical n’est ni son origine, ni sa désignation, mais son contenu.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En l’espèce, force est de constater que les conclusions du Dr F______ ont été prises en parfaite connaissance du dossier et de l’anamnèse du conjoint de la recourante, qu’elles tiennent compte de ses plaintes et reposent sur un examen médical détaillé. Il n’y a ainsi pas lieu de s’en écarter, ce que l’intimé ne conteste d’ailleurs pas. Partant, seul un gain potentiel correspondant à une activité exercée à 50% peut être pris en compte pour l’époux de la recourante. Pour calculer ce gain potentiel, l’intimé s’est fondé, dans sa décision du 29 août 2014 sur l’ESS, puis, dans sa décision sur opposition, sur une convention collective de travail, sans préciser laquelle. La vérification des montants retenus dans les décisions de l’intimé démontrent toutefois que le gain potentiel retenu dans la</w:t>
      </w:r>
    </w:p>
    <w:p>
      <w:r>
        <w:t>A/3750/2014 - 9/11 - décision sur opposition correspond également au salaire statistique tiré de l’ESS, puisqu’il est équivalent à 80% du montant pris en considération dans la décision sujette à opposition. Le Tribunal fédéral a admis la fixation du gain potentiel sur la base des statistiques salariales dans le cadre du calcul des prestations complémentaires (arrêt du Tribunal fédéral des assurances P 38/05 du 25 août 2006 consid. 4.2). De plus, les limitations fonctionnelles de l’époux de la recourante ne sont pas telles qu’elles sont incompatibles avec une activité légère. Or, le marché du travail comprend un large éventail de telles activités (arrêt du Tribunal fédéral des assurances I 95/05 du 24 juin 2005 consid. 4). Les critiques de la recourante sur ce montant tombent donc à faux. Quant à la date à partir de laquelle le revenu hypothétique correspondant à une activité exercée à 50% doit être prise en compte, on rappellera que la décision confirmée sur opposition recalculait le droit aux prestations dès le 1er mai 2014. L’art. 25 OPC-AVS/AI vise l’adaptation des prestations complémentaires afin de tenir compte des modifications économiques ou de fait du bénéficiaire des prestations complémentaires. Les modifications dans la situation personnelle sont traitées à sa lettre a, tandis que l’adaptation des prestations complémentaires en raison de changements dans la situation économique sont réglés aux lettres b à d de l’art. 25 OPC-AVS/AI (arrêt du Tribunal fédéral des assurances P 59/00 du 2 mai 2001 consid. 3b). Selon l’alinéa premier de cette disposition, la prestation complémentaire annuelle doit être augmentée, réduite ou supprimée : - lors de chaque changement survenant au sein d'une communauté de personnes comprises dans le calcul de la prestation complémentaire annuelle (let. a); - lors de chaque modification de la rente de l'assurance-vieillesse et survivants ou de l'assurance-invalidité (let. b);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 lors d'un contrôle périodique, si l'on constate un changement des dépenses reconnues, des revenus déterminants et de la fortune; on pourra renoncer à rectifier la prestation complémentaire annuelle, lorsque la modification est inférieure à 120 francs par an (let. d). En vertu du second alinéa de cette disposition, la nouvelle décision doit porter effet :</w:t>
      </w:r>
    </w:p>
    <w:p>
      <w:r>
        <w:t>A/3750/2014 - 10/11 -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 dans les cas prévus par l'al. 1, let. c, lors d'une augmentation de l'excédent des dépenses, dès le début du mois au cours duquel le changement a été annoncé, mais au plus tôt à partir du mois dans lequel celui-ci est survenu (let. b);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En vertu de cette disposition, c’est dès le début du mois de mai 2014, date à laquelle la diminution des revenus de l’époux de la recourante a été annoncée, que prend effet le nouveau calcul auquel l’intimé devra procéder.</w:t>
      </w:r>
    </w:p>
    <w:p>
      <w:r>
        <w:rPr>
          <w:b/>
        </w:rPr>
        <w:t>E. 10</w:t>
      </w:r>
    </w:p>
    <w:p>
      <w:r>
        <w:t>Eu égard à ce qui précède, le recours est partiellement admis et la cause renvoyée à l’intimé pour nouveau calcul des prestations complémentaires en tenant compte, pour l’époux de sa bénéficiaire, d’un gain potentiel correspondant à une activité exercée à 50% seulement. La recourante est représentée par une assistante sociale de sa commune, soit d’une entité de droit public. Partant, elle n’a pas droit à des dépens (ATF 126 V 11 consid. 5 ; art. 61 let. g LPGA). Pour le surplus, la procédure est gratuite (art. 61 let. a LPGA).</w:t>
      </w:r>
    </w:p>
    <w:p>
      <w:r>
        <w:t>A/3750/2014 - 11/11 -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