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ATAS/604/2011 vom 7. Juni 2011</w:t>
      </w:r>
    </w:p>
    <w:p>
      <w:r>
        <w:t>GE Cour de justice, 2011-06-07, FR</w:t>
      </w:r>
    </w:p>
    <w:p>
      <w:r>
        <w:rPr>
          <w:b/>
        </w:rPr>
        <w:t xml:space="preserve">Quelle: </w:t>
      </w:r>
      <w:r>
        <w:t>https://mcp.opencaselaw.ch/entscheid/ge_gerichte_ATAS_604_2011</w:t>
      </w:r>
    </w:p>
    <w:p>
      <w:r>
        <w:t>FR: GE_GERICHTE ATAS/604/2011 du 7 juin 2011</w:t>
      </w:r>
    </w:p>
    <w:p>
      <w:r>
        <w:t>IT: GE_GERICHTE ATAS/604/2011 del 7 giugno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w:t>
      </w:r>
    </w:p>
    <w:p>
      <w:r>
        <w:t>A/3765/2009 - 10/18 -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130 V 229, consid. 1.1).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4316). Les règles de procédure s’appliquent quant à elles sans réserve dès le jour de leur entrée en vigueur (ATF 117 V 71, consid. 6b).</w:t>
      </w:r>
    </w:p>
    <w:p>
      <w:r>
        <w:rPr>
          <w:b/>
        </w:rPr>
        <w:t>E. 3</w:t>
      </w:r>
    </w:p>
    <w:p>
      <w:r>
        <w:t>Interjeté dans la forme et le délai prescrits par la loi, le recours est recevable.</w:t>
      </w:r>
    </w:p>
    <w:p>
      <w:r>
        <w:rPr>
          <w:b/>
        </w:rPr>
        <w:t>E. 4</w:t>
      </w:r>
    </w:p>
    <w:p>
      <w:r>
        <w:t>Le litige porte sur le droit du recourant à des prestations de l’assurance-invalidité, singulièrement sur le degré d’invalidité. En revanche, le droit du recourant à des mesures d'ordre professionnel ne sera pas examiné dans le cadre du présent recours. Il sied en effet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36, consid. 2a et les références citées). En l'espèce, l'intimé ne s'est pas formellement prononcé sur l'octroi de mesures d'ordre professionnel dans la décision querellée et les parties ne se sont pas déterminées à ce sujet dans leurs écritures, si bien que le droit du recourant à de telles mesures ne fait pas l'objet du litige. Si le recourant entend contester la position de l'intimé sur l'octroi de mesures de réadaptation, il lui</w:t>
      </w:r>
    </w:p>
    <w:p>
      <w:r>
        <w:t>A/3765/2009 - 11/18 - appartient de demander à ce dernier de rendre une décision formelle susceptible de recours sur ce point.</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w:t>
      </w:r>
    </w:p>
    <w:p>
      <w:r>
        <w:t>A/3765/2009 - 13/18 -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7</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(ATF du 24 avril 2006, I 168/05, consid. 3.3; ATF du 17 octobre 2003, B 80/01,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w:t>
      </w:r>
    </w:p>
    <w:p>
      <w:r>
        <w:t>A/3765/2009 - 14/18 -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du 20 novembre 2009, 9C_142/2009, consid. 4.1; ATF du 24 août 2007, 9C_237/2007, consid. 5.1; RAMA 2000 n° U 405, consid. 3b).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L'étendue de l'abattement justifié dans un cas concret relève du pouvoir d'appréciation de l'autorité (ATF 132 V 393, consid. 3.3). Le juge ne peut, sans motif pertinent, substituer son appréciation à celle de l'administration (ATF 126 V 75, consid. 6). Conformément à l'art. 61 al. 1 let. a de la loi sur la procédure administrative (LPA; E 5 10), seul l'abus ou l'excès du pouvoir d'appréciation peut être revu par le Tribunal de céans.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C 114/01 du 28 juin 2002, consid. 2b/aa; ATF 123 V 150, consid. 2). Il y a excès du pouvoir d'appréciation notamment dans le cas où l'excès de pouvoir est négatif, soit lorsque l'autorité considère qu'elle est liée, alors que la loi l'autorise à statuer selon son appréciation, ou qu'elle renonce d'emblée en tout ou partie à exercer son pouvoir d'appréciation (ATF 9C_280/2010 du 12 avril 2011, consid. 5.1 ; ATF 116 V 307, consid. 2).</w:t>
      </w:r>
    </w:p>
    <w:p>
      <w:r>
        <w:rPr>
          <w:b/>
        </w:rPr>
        <w:t>E. 8</w:t>
      </w:r>
    </w:p>
    <w:p>
      <w:r>
        <w:t>En l’espèce, tant le Dr K__________ que le Dr L__________ ont conclu à une capacité de travail du recourant de 75 %. On relèvera que les expertises réalisées par ces médecins satisfont parfaitement aux réquisits jurisprudentiels développés ci- dessus. En effet, elles se fondent sur l’étude du dossier médical et sur un examen clinique approfondi, tiennent compte des plaintes du recourant et leurs conclusions sont claires et motivées.</w:t>
      </w:r>
    </w:p>
    <w:p>
      <w:r>
        <w:t>A/3765/2009 - 15/18 - Quant aux rapports établis par le Dr H__________, il y a lieu de souligner que les atteintes dont il fait état (lombalgies, douleurs à la jambe droite et état psychique) étaient connues des experts et ont été prises en compte dans l’évaluation de la capacité de travail. L'hernie discale avait été décrite en 2005 déjà par le Dr J__________. Seule l’atteinte bilatérale des nerfs médians constitue un élément nouveau. Cependant, même si cette atteinte avait des répercussions sur la capacité de travail du recourant – ce qui n’a pas été établi par le Dr S__________, il y a lieu de rappeler que,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en principe faire l'objet d'une nouvelle décision administrative (ATF 117 V 287, consid. 4). Ainsi, si la neuropathie diagnostiquée subsiste malgré le traitement qui doit être mis en place et entraîne une aggravation de l’incapacité de travail du recourant, celui-ci devra déposer une nouvelle demande de prestations. S’agissant de la prise en charge par un psychiatre, la Cour de céans rappelle qu’elle était déjà préconisée par le Dr L__________ et ne suffit ainsi pas à démontrer une aggravation de l’état de santé du recourant. Enfin, les douleurs que le recourant allègue à l’appui de son recours sont connues. De plus, les médecins consultés n’ont pas réussi à en établir l’origine : le Pr D__________ et les Drs E__________ et F__________ notaient en avril 2005 que la symptomatologie de l’assuré ne pouvait être expliquée, ce que confirmait la Dresse I__________ dans son rapport d’août 2005. Cela ressort également de l’expertise du Dr K__________, qui signalait une discordance entre les constats cliniques et les plaintes du recourant, ainsi que de l'expertise du Dr N__________, qui indiquait que les plaintes du recourant ne pouvaient être expliquées par l'évolution des lésions accidentelles. Or, selon la jurisprudence du Tribunal fédéral, les simples plaintes subjectives d'un assuré ne sauraient suffire pour justifier une invalidité entière ou partielle, compte tenu des difficultés en matière de preuve à établir l'existence de douleurs en l'absence d'observations médicales concluantes sur le plan somatique (ATF du 29 septembre 2008, 9C_405/2008, consid. 3.2). Par conséquent, dans la mesure où les douleurs alléguées par le recourant ne reposent pas sur un substrat organique, elles ne permettent pas de conclure à une incapacité de gain. Compte tenu de ce qui précède, les rapports du Dr H__________ ne suffisent pas à remettre en cause les conclusions des experts sur la capacité de travail du recourant. Quant aux rendements constatés par les maîtres de stage, ils ne constituent pas une indication fiable de la capacité de gain du recourant dans la mesure où ils ont pu être faussés par l'attitude de celui-ci.</w:t>
      </w:r>
    </w:p>
    <w:p>
      <w:r>
        <w:rPr>
          <w:b/>
        </w:rPr>
        <w:t>E. 9</w:t>
      </w:r>
    </w:p>
    <w:p>
      <w:r>
        <w:t>Conformément à ce qui précède, il y a lieu d’admettre que le recourant présentait une incapacité totale de gain du 1er octobre 2003 au 14 avril 2006, date de l’expertise du Dr K__________, et une capacité de travail de 75 % dès cette date.</w:t>
      </w:r>
    </w:p>
    <w:p>
      <w:r>
        <w:t>A/3765/2009 - 16/18 - Le recourant peut dès lors prétendre à l’octroi d’une rente entière depuis le 1er octobre 2004, soit après le délai d’attente d’un an prévu par l’art. 28 al. 1 LAI. Conformément à l’art. 88a al. 1 du règlement sur l'assurance-invalidité (RAI ;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Le droit à une rente entière s’éteint dès lors trois mois après l’amélioration constatée par le Dr K__________, soit le 31 juillet 2006, comme l’a d’ailleurs admis l’intimé dans sa réponse. La décision querellée doit dès lors être modifiée en ce sens. L’intimé a retenu que le recourant présentait par la suite une capacité de travail de 75 % et évalué son invalidité à 22 %. Pour son calcul, l’intimé s’est fondé sur un revenu avec invalidité correspondant à une activité simple et répétitive dans le domaine de la fabrication et la transformation de produits et procurant un revenu mensuel de 4'777 fr. pour 40 heures par semaine, soit 4'981 fr. pour 41.7 heures de travail, soit la durée hebdomadaire moyenne de travail en 2006. Il est cependant erroné de tenir compte d’un tel revenu. En effet, en l’absence de revenu effectivement réalisé après la survenance de l’invalidité ou d'indices concrets permettant de retenir un secteur plutôt qu’un autre, il y a lieu de se référer à la ligne "Total secteur privé" du tableau 1 de l’Enquête suisse des salaires. On doit donc admettre un revenu d’invalide de 4'588 fr. pour 40 heures par semaine (ligne « total » du TA1, niveau 4). Cela correspond à un revenu de 4'783 fr. pour 41.7 heures hebdomadaires, soit 57'395 fr. par an et 58'548 fr. après indexation en 2006. Compte tenu de la capacité de travail de 75 %, le revenu annuel avec invalidité est de 43'911 fr (58'548 fr x 75 %). De plus, l’intimé n’a tenu compte d’aucun abattement sans même indiquer pour quels motifs il renonçait à réduire le salaire statistique. Il a ainsi commis un excès de son pouvoir d’appréciation, qu’il convient de corriger. En l’occurrence, il y a lieu de procéder à un abattement de 10 % du salaire statistique, compte tenu du fait des limitations fonctionnelles du recourant et de sa capacité de travail restreinte. Une réduction plus importante ne se justifie pas compte tenu de l’âge du recourant et de l’éventail de postes adaptés à ses limitations. On obtient ainsi un revenu annuel après invalidité de 39'520 fr. Comparé au revenu que le recourant aurait obtenu sans invalidité pour 2006, soit 58'595 fr. après indexation, le degré d’invalidité est de 33 %. Cela reste insuffisant pour ouvrir le droit à une rente, de sorte que le recourant ne peut prétendre à l’octroi d’une rente après le 1er août 2006.</w:t>
      </w:r>
    </w:p>
    <w:p>
      <w:r>
        <w:t>A/3765/2009 - 17/18 -</w:t>
      </w:r>
    </w:p>
    <w:p>
      <w:r>
        <w:rPr>
          <w:b/>
        </w:rPr>
        <w:t>E. 10</w:t>
      </w:r>
    </w:p>
    <w:p>
      <w:r>
        <w:t>Compte tenu de ce qui précède, le recours sera partiellement admis. Le recourant a droit à une indemnité de dépens, fixée en l'occurrence à 1'000 fr.</w:t>
      </w:r>
    </w:p>
    <w:p>
      <w:r>
        <w:t>A/3765/2009 - 18/18 -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