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ATAS/603/2025 vom 11. August 2025</w:t>
      </w:r>
    </w:p>
    <w:p>
      <w:r>
        <w:t>GE Cour de justice, 2025-08-11, FR</w:t>
      </w:r>
    </w:p>
    <w:p>
      <w:r>
        <w:rPr>
          <w:b/>
        </w:rPr>
        <w:t xml:space="preserve">Quelle: </w:t>
      </w:r>
      <w:r>
        <w:t>https://mcp.opencaselaw.ch/entscheid/ge_gerichte_ATAS_603_2025</w:t>
      </w:r>
    </w:p>
    <w:p>
      <w:r>
        <w:t>FR: GE_GERICHTE ATAS/603/2025 du 11 août 2025</w:t>
      </w:r>
    </w:p>
    <w:p>
      <w:r>
        <w:t>IT: GE_GERICHTE ATAS/603/2025 del 11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w:t>
      </w:r>
    </w:p>
    <w:p>
      <w:r>
        <w:t>A/262/2025 - 8/26 -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Le délai de recours est de 30 jours (art. 60 LPGA ; art. 62 al. 1 let. a LPA).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Les délais en jours ou en mois fixés par la loi ou par l’autorité ne courent pas du 18 décembre au 2 janvier inclusivement (art. 60 al. 2 et 38 al. 4 let. c LPGA). En l’occurrence, la décision querellée est datée du 9 décembre 2024, de sorte qu’elle a été notifiée au recourant au plus tôt le lendemain. Le délai de recours n’a pas couru du 18 décembre 2024 au 2 janvier 2025 inclusivement et est ainsi arrivé à échéance le samedi 25 janvier 2025, si bien que son terme a été reporté le 27 janvier 2025, date de dépôt du recours.</w:t>
      </w:r>
    </w:p>
    <w:p>
      <w:r>
        <w:rPr>
          <w:b/>
        </w:rPr>
        <w:t>E. 1.3</w:t>
      </w:r>
    </w:p>
    <w:p>
      <w:r>
        <w:t>Interjeté dans la forme (art. 61 let. b LPGA) et le délai de trente jours (art. 60 al. 1 LPGA ; art. 62 al. 1 let. a LPA) prévus par la loi, le recours est recevable.</w:t>
      </w:r>
    </w:p>
    <w:p>
      <w:r>
        <w:rPr>
          <w:b/>
        </w:rPr>
        <w:t>E. 2</w:t>
      </w:r>
    </w:p>
    <w:p>
      <w:r>
        <w:t>Le litige porte sur le droit de la recourante à une rente d’invalidité.</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l’espèce, un éventuel droit à une rente d’invalidité naîtrait au plus tôt en novembre 2023, soit au terme de la période d’incapacité de travail totale d’une année de la recourante (cf. art. 28 al. 1 let. c LAI), dont la demande de prestations du 7 mars 2023 n’est pas tardive (cf. art. 29 al. 1 LAI), de sorte que les dispositions légales applicables seront citées dans leur nouvelle teneur.</w:t>
      </w:r>
    </w:p>
    <w:p>
      <w:r>
        <w:rPr>
          <w:b/>
        </w:rPr>
        <w:t>E. 4</w:t>
      </w:r>
    </w:p>
    <w:p>
      <w:r>
        <w:t>A/262/2025 - 9/26 -</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5.1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t>A/262/2025 - 10/26 -</w:t>
      </w:r>
    </w:p>
    <w:p>
      <w:r>
        <w:rPr>
          <w:b/>
        </w:rPr>
        <w:t>E. 5.2</w:t>
      </w:r>
    </w:p>
    <w:p>
      <w:r>
        <w:t>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6.1</w:t>
      </w:r>
    </w:p>
    <w:p>
      <w:r>
        <w:t>Selon l'art. 28a al. 1 1re phrase LAI, l’évaluation du taux d’invalidité des assurés exerçant une activité lucrative est régie par l’art. 16 LPGA, aux termes duquel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6.2</w:t>
      </w:r>
    </w:p>
    <w:p>
      <w:r>
        <w:t>Selon l'art. 28a al. 2 LAI,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(art. 8 al. 3 LPGA, auquel renvoie l'art. 5 al. 1 LAI ; ATAS/846/2023 du 2 novembre 2023 consid. 7.4). Par travaux habituels des assurés travaillant dans le ménage, on entend leur activité usuelle dans le ménage, ainsi que les soins et l'assistance apportée aux proches (art. 27 RAI).</w:t>
      </w:r>
    </w:p>
    <w:p>
      <w:r>
        <w:rPr>
          <w:b/>
        </w:rPr>
        <w:t>E. 6.3</w:t>
      </w:r>
    </w:p>
    <w:p>
      <w:r>
        <w:t>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ATAS/750/2019 du 26 août 2019 consid. 7).</w:t>
      </w:r>
    </w:p>
    <w:p>
      <w:r>
        <w:rPr>
          <w:b/>
        </w:rPr>
        <w:t>E. 7.1</w:t>
      </w:r>
    </w:p>
    <w:p>
      <w:r>
        <w:t>Chez les assurés travaillant dans le ménage, le degré d'invalidité se détermine, en règle générale, au moyen d'une enquête économique sur place, alors que</w:t>
      </w:r>
    </w:p>
    <w:p>
      <w:r>
        <w:t>A/262/2025 - 11/26 - l'incapacité de travail correspond à la diminution - attestée médicalement - du rendement fonctionnel dans l'accomplissement des travaux habituels (ATF 130 V 97).</w:t>
      </w:r>
    </w:p>
    <w:p>
      <w:r>
        <w:rPr>
          <w:b/>
        </w:rPr>
        <w:t>E. 7.2</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7.3</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in VSI 2003 p. 221 ; arrêts du Tribunal fédéral 9C_625/2017 du 26 mars 2018 consid. 6.2 et I.733/06 du 16 juillet 2007).</w:t>
      </w:r>
    </w:p>
    <w:p>
      <w:r>
        <w:t>A/262/2025 - 12/26 -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I.308/04 et I.309/04 du 14 janvier 2005 consid. 6.2.1).</w:t>
      </w:r>
    </w:p>
    <w:p>
      <w:r>
        <w:rPr>
          <w:b/>
        </w:rPr>
        <w:t>E. 7.4</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w:t>
      </w:r>
    </w:p>
    <w:p>
      <w:r>
        <w:rPr>
          <w:b/>
        </w:rPr>
        <w:t>E. 7.5</w:t>
      </w:r>
    </w:p>
    <w:p>
      <w:r>
        <w:t>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w:t>
      </w:r>
    </w:p>
    <w:p>
      <w:r>
        <w:t>A/262/2025 - 13/26 -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8.2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w:t>
      </w:r>
    </w:p>
    <w:p>
      <w:r>
        <w:t>A/262/2025 - 14/26 - consid. 4.4.1.3 et 4.4.1.4 ; SVR 2010 IV n. 49 p. 151 consid. 3.5 ; arrêt du Tribunal fédéral 8C_760/2011 du 26 janvier 2012 consid. 3).</w:t>
      </w:r>
    </w:p>
    <w:p>
      <w:r>
        <w:rPr>
          <w:b/>
        </w:rPr>
        <w:t>E. 8.3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9.1</w:t>
      </w:r>
    </w:p>
    <w:p>
      <w:r>
        <w:t>En l’occurrence, la chambre de céans constate, à titre liminaire, que la recourante ne conteste pas le statut de personne non active retenu par l’intimé, lequel est au demeurant justifié. En effet, il ressort du dossier que l’extrait de compte individuel de la recourante ne fait état d’aucune inscription de revenu. La recourante a d’ailleurs indiqué à l’enquêtrice qu’elle n’avait jamais exercé d’activité lucrative et qu’elle n’en aurait pas exercé sans son atteinte à la santé. Compte tenu de ce qui précède, il convient de déterminer quel est le degré d’empêchement de la recourante dans l’accomplissement de ses tâches habituelles.</w:t>
      </w:r>
    </w:p>
    <w:p>
      <w:r>
        <w:rPr>
          <w:b/>
        </w:rPr>
        <w:t>E. 9.2</w:t>
      </w:r>
    </w:p>
    <w:p>
      <w:r>
        <w:t>La recourante soutient que l’intimé n’a pas pris en considération l’ensemble de ses limitations fonctionnelles et a retenu des empêchements trop faibles en lien avec les postes « alimentation », « entretien de l’appartement », « achats et courses diverses » et « lessives et entretien des vêtements ». S’agissant de ces mêmes postes, la recourante reproche à l’intimé d’avoir tenu compte de l’aide exigible de sa famille dans une mesure trop importante. L’intimé est quant à lui d’avis que l’enquêtrice a pris en considération les limitations fonctionnelles de la recourante et qu’elle a considéré, de ce fait, qu’elle était en mesure d’effectuer certaines tâches ne demandant pas trop d’efforts physiques en les répartissant dans la semaine. Concernant l’aide exigible de la famille de la recourante, l’intimé est d’avis qu’il peut être attendu de son époux, même s’il travaille à plein temps, qu’il participe aux tâches ménagères dans la mesure où il s’occuperait de telles tâches s’il vivait seul. Pour le surplus, rien ne laissait penser que l’enquêtrice avait surévalué l’aide exigible de la famille. Pour mémoire, l’intimé s’est fondé sur le rapport d’enquête économique sur le ménage du 1er juillet 2024 pour dénier à la recourante le droit à une rente</w:t>
      </w:r>
    </w:p>
    <w:p>
      <w:r>
        <w:t>A/262/2025 - 15/26 - d’invalidité. Ce rapport mentionne que la recourante présente un empêchement total de 63.9% dans l’accomplissement de ses travaux habituels. Après déduction de l’aide exigible de ses proches, ce taux ne s’élève plus qu’à 24.3%. Il convient ainsi de déterminer si ce rapport d’enquête peut se voir reconnaître une pleine force probante.</w:t>
      </w:r>
    </w:p>
    <w:p>
      <w:r>
        <w:rPr>
          <w:b/>
        </w:rPr>
        <w:t>E. 10.1</w:t>
      </w:r>
    </w:p>
    <w:p>
      <w:r>
        <w:t>À titre liminaire, il convient de constater que ce rapport d'enquête a été rédigé par une personne qualifiée qui s'est rendue au domicile de la recourante pendant 45 minutes. Il mentionne l’atteinte à la santé incapacitante dont souffre la recourante, à savoir « un carcinome mammaire bilatéral avec status post skin sparing mastectomy bilatérale », laquelle ressort du rapport du médecin du SMR du 18 avril 2024. Le rapport d’enquête énumère également les limitations fonctionnelles répertoriées par le médecin du SMR, soit la fatigue, les difficultés de concentration et de mémoire, ainsi que l’arthralgie, étant précisé que ces limitations fonctionnelles ressortent du rapport médical du Dr B______ du 22 mars 2024. En outre, le rapport d’enquête contient les déclarations de la recourante relatives aux tâches qu’elle effectuait avant son atteinte à la santé et celles qu’elle continue à effectuer seule ou avec l’aide de sa famille.</w:t>
      </w:r>
    </w:p>
    <w:p>
      <w:r>
        <w:rPr>
          <w:b/>
        </w:rPr>
        <w:t>E. 10.2</w:t>
      </w:r>
    </w:p>
    <w:p>
      <w:r>
        <w:t>Dans ses observations du 24 septembre 2024, la recourante a relevé qu’aucun interprète n’était présent durant l’enquête réalisée à son domicile et qu’elle n’avait pas pu s’exprimer de façon détaillée à cette occasion, même si son mari l’avait aidée à traduire dans la mesure du possible. À cet égard, il ressort du rapport du Dr B______ du 22 novembre 2022 que la recourante comprend bien le français mais éprouve quelques difficultés à le parler. Il appert que la recourante ne remet pas en cause le contenu de ses déclarations telles qu’elles ont été consignées par l’enquêtrice dans le rapport d’enquête du 1er juillet 2024. Dans ses écritures de recours et de réplique, elle ne fait d’ailleurs plus grief à l’intimé de ne pas avoir prévu la présence d’un interprète à l’occasion de la visite de l’enquêtrice à son domicile. La recourante ne l'a d'ailleurs pas exigée avant l'entretien ou durant celui-ci (cf. dans un cas analogue arrêt du Tribunal fédéral 8C_940/2015 du 19 avril 2016 consid. 6.2). Ainsi, compte tenu de la bonne compréhension du français par la recourante et de l’aide apportée par son époux lors de l’enquête, qui l’a aidée à traduire, la chambre de céans retiendra que l’absence d’un interprète ne constitue pas un motif justifiant de s’écarter du rapport d’enquête du 1er juillet 2024.</w:t>
      </w:r>
    </w:p>
    <w:p>
      <w:r>
        <w:rPr>
          <w:b/>
        </w:rPr>
        <w:t>E. 10.3</w:t>
      </w:r>
    </w:p>
    <w:p>
      <w:r>
        <w:t>Par ailleurs, la recourante souligne dans son recours que l’enquêtrice a constaté à tort que son appartement était équipé d’un lave-vaisselle.</w:t>
      </w:r>
    </w:p>
    <w:p>
      <w:r>
        <w:t>A/262/2025 - 16/26 - Il ressort du rapport d’enquête du 1er juillet 2024 que l’enquêtrice a effectivement mentionné que la recourante dispose d’un lave-vaisselle dans son appartement. Cependant, au vu des remarques consignées par l’enquêtrice en marge de l’activité « nettoyer la cuisine au quotidien », il appert qu’elle a effectué son analyse en retenant que la famille devait faire la vaisselle à la main, de sorte que son constat erroné procède vraisemblablement d’une erreur de plume, sans conséquence sur la force probante que revêt le rapport d’enquête.</w:t>
      </w:r>
    </w:p>
    <w:p>
      <w:r>
        <w:rPr>
          <w:b/>
        </w:rPr>
        <w:t>E. 10.4</w:t>
      </w:r>
    </w:p>
    <w:p>
      <w:r>
        <w:t>Il sied encore de relever que la recourante ne critique pas, dans ses écritures, la pondération des champs d’activité retenue par l’intimé. Celle-ci est en tout état de cause conforme aux pourcentages minimaux et maximaux fixés pour chaque domaine d’activité par la Circulaire sur l’invalidité et les rentes dans l’assurance-invalidité (ci‑après : CIRAI, ch. 3609 ; état au 1er janvier 2024), à l’exception de la pondération du champ d’activité concernant les achats et courses diverses, lequel a été pris en compte à hauteur de 11% alors que le pourcentage relatif à cette activité doit être compris entre 5% et 10%. Dans la mesure où ce dépassement de 1% n’a pas d’incidence sur le résultat de la présente cause (cf. infra 10.8), il n’y a toutefois pas lieu de modifier la pondération effectuée par l’intimé, ce d’autant plus que ce champ d’activité revêt une importance particulière dans le cas d’une famille de cinq personnes. Pour le surplus, les pondérations des différents pourcentages d’activités, une fois additionnées, correspondent à un taux de 100%, conformément à la jurisprudence (cf. Pratique VSI 1997, p. 298). Par conséquent, ce rapport répond à tout le moins aux exigences formelles définies par la jurisprudence s'agissant de la valeur probante d'un tel écrit.</w:t>
      </w:r>
    </w:p>
    <w:p>
      <w:r>
        <w:rPr>
          <w:b/>
        </w:rPr>
        <w:t>E. 10.5</w:t>
      </w:r>
    </w:p>
    <w:p>
      <w:r>
        <w:t>Sur le plan matériel, l’enquêtrice a estimé que pour une famille telle que celle de la recourante, le total d’heures nécessaires à la tenue du ménage, par semaine, est de 46.12h. (soit 46h et 12 minutes ou 46.2h). L’enquêtrice s’est vraisemblablement fondée sur les données statistiques de l’Office fédéral de la statistique ressortant du tableau T 03.06.02.09, intitulé « travail domestique et familial : Mères vivant en couple élevant 3 enfants ou plus selon la situation professionnelle et l'âge du plus jeune des enfants », dont il ressort qu’une mère en couple élevant trois enfants, dont le plus jeune enfant est âgé entre 7 et 14 ans, consacrait, en 2020, 44.7 heures à la tenue de son ménage (soit 44 heures et 42 minutes). Ce chiffre étant proche de celui pris en compte par l’intimé, lequel est du reste plus favorable à la recourante, la chambre de céans ne s’écartera pas de la durée de 46.2h. L’enquêtrice a considéré que la recourante consacrait 31% de son temps à l’alimentation, soit 14.3h par semaine (31% x 46.2h), 19% à l’entretien de son appartement, soit 8.8h par semaine (19% x 46.2h), 11% aux achats et courses diverses, soit 5.1h par semaine (11% x 46.2h), 10% aux lessives et à l’entretien</w:t>
      </w:r>
    </w:p>
    <w:p>
      <w:r>
        <w:t>A/262/2025 - 17/26 - des vêtements, soit 4.6h par semaine (10% x 46.2h), 29% aux soins aux enfants, soit 13.4 heures par semaine (29% x 46.2h), et 0% aux soins du jardin et aux animaux domestiques. Elle est ensuite parvenue à la conclusion que la recourante ne pouvait plus exercer 63.9% des tâches ménagères, soit 29.52h (63.9% x 46.2h). Dans la mesure où la recourante conteste certains des taux retenus par l’intimé au titre d’empêchements, il convient d’examiner la situation pour chaque domaine d’activité litigieux.</w:t>
      </w:r>
    </w:p>
    <w:p>
      <w:r>
        <w:rPr>
          <w:b/>
        </w:rPr>
        <w:t>E. 10.5.1</w:t>
      </w:r>
    </w:p>
    <w:p>
      <w:r>
        <w:t>S’agissant du champ d’activité relatif à l’alimentation, la recourante fait grief à l’intimé d’avoir retenu un taux d’empêchement de 50% concernant la préparation et la cuisson des aliments. Elle estime en effet que son empêchement est total concernant la préparation des repas. L’intimé soutient pour sa part, dans sa réponse du 25 février 2025, que la recourante est capable de préparer des plats simples, de sorte que ce poste tient compte de ses limitations fonctionnelles. Il ressort des constatations consignées dans le rapport d’enquête qu’avant son atteinte à la santé, la recourante préparait deux repas par jour pour la famille. Elle est désormais contrainte de déléguer cette tâche à sa fille ou à son mari en raison de la fatigue qu’elle éprouve pendant la préparation du repas. L’enquêtrice précise d’ailleurs que les trois enfants rentrent actuellement pour manger à midi et qu’ils achètent souvent des repas déjà préparés. Compte tenu de ce qui précède, le taux de 50% retenu par l’enquêtrice paraît effectivement trop faible, dès lors qu’il appert que la recourante n’est plus en mesure d’assumer seule la préparation des repas, ni d’y prendre part de façon substantielle, ce qui la contraint à déléguer cette tâche à sa fille aînée et à son mari. Il est par ailleurs malaisé de comprendre pour quelle raison la recourante serait en mesure de préparer des plats simples, alors qu’il ressort des constatations de l’enquêtrice que ses enfants achètent souvent des repas préparés lorsqu’ils rentrent à midi. Il y a toutefois lieu de tenir compte du fait que la recourante semble capable d’accomplir cette tâche en partie dans la mesure où le rapport d’enquête mentionne que sa fatigue se manifeste alors qu’elle est en train de préparer le repas, si bien qu’il se justifie de retenir un taux de 75%. Ce taux tient également compte du fait que, selon la jurisprudence, la préparation des repas peut être allégée par l'achat de produits alimentaires prêts à l'emploi (arrêts du Tribunal fédéral I 308/04 et I 309/04 du 14 janvier 2005 consid. 6.3.2.1). Concernant le dressage et le débarrassage de la table, l’intimé a retenu un taux d’empêchement de 50%, alors que la recourante estime que celui-ci devrait s’élever à 75%. Le rapport d’enquête mentionne que la recourante mettait la table et la débarrassait avant son atteinte à la santé. La recourante peut désormais participer pour de petites choses, en évitant de lever les bras en raison des douleurs qu’elle ressent. Elle indique également ne pas pouvoir porter des choses. Le rapport</w:t>
      </w:r>
    </w:p>
    <w:p>
      <w:r>
        <w:t>A/262/2025 - 18/26 - d’enquête précise que la table se trouve dans la cuisine, à proximité immédiate du plan de travail et des rangements. D’après la recourante, le taux d’empêchement de 50% retenu par l’intimé est incohérent avec celui de 75% qu’il a pris en considération en lien avec le nettoyage de la cuisine au quotidien (ranger la cuisine, laver la vaisselle, ranger et vider le lave-vaisselle, nettoyer le bloc de cuisine). À propos de cette dernière activité, dont le taux d’empêchement n’est pas contesté par la recourante, le rapport d’enquête mentionne que celle-ci peut encore ranger un peu, mais qu’elle ne peut rien remettre en hauteur. La recourante en infère que le taux d’empêchement aurait également dû s’élever à 75% s’agissant du dressage et du débarrassage de table, dès lors qu’elle ne peut pas sortir les plats, les casseroles et les couverts des armoires pour les porter à table, ni les rapporter à la cuisine pour ensuite les nettoyer. Contrairement à ce que soutient la recourante, le taux d’empêchement de 75% retenu par l’intimé pour le nettoyage de la cuisine au quotidien n’est pas incohérent avec le taux de 50% pris en considération pour mettre la table, servir le repas et débarrasser la table. En effet, le taux d’empêchement de 75% tient compte du fait que la recourante, en sus de sa capacité limitée à ranger, ne peut plus faire la vaisselle, ni nettoyer les armoires et les murs de la cuisine, ces deux activités n’étant pas comprises dans le dressage et débarrassage de la table. Ainsi, compte tenu du fait que la recourante indique pouvoir participer pour des petites choses pour mettre la table, servir le repas et débarrasser la table, et que la table de la cuisine se trouve à proximité des meubles de rangement, le taux d’empêchement de 50% paraît justifié et conforme à ses limitations fonctionnelles. Par conséquent, dans la mesure où la recourante a retenu un taux d’empêchement – non contesté – de 75% s’agissant du nettoyage de la cuisine, c’est un taux d’empêchement global de 72.5%, arrondi à 73% ([75% x 60%] + [50% x 10%] + [75% x 30%]), qui peut être retenu concernant le champ d’activité intitulé « alimentation ».</w:t>
      </w:r>
    </w:p>
    <w:p>
      <w:r>
        <w:rPr>
          <w:b/>
        </w:rPr>
        <w:t>E. 10.5.2</w:t>
      </w:r>
    </w:p>
    <w:p>
      <w:r>
        <w:t>Concernant l’entretien de l’appartement, la recourante critique tout d’abord le taux d’empêchement de 25% retenu s’agissant des travaux légers (ranger, aérer, épousseter, faire le lit, etc.). Selon le rapport d’enquête, la recourante est encore en mesure de ranger un peu mais se démotive très vite et doit se reposer. Selon elle, un empêchement de 75% devrait être retenu pour cette activité. Dans son écriture du 25 février 2025, l’intimé s’est borné à se référer aux déclarations de la recourante, en précisant que le taux d’empêchement de 25% tient compte de ses limitations fonctionnelles. Dans la mesure où la fatigue de la recourante l’oblige à se reposer et à arrêter sa tâche rapidement, un taux de 25% ne saurait être retenu. Un taux d’empêchement</w:t>
      </w:r>
    </w:p>
    <w:p>
      <w:r>
        <w:t>A/262/2025 - 19/26 - de 50% paraît plus adapté aux limitations fonctionnelles de la recourante, telles que la fatigue et l’arthralgie. S’agissant du poste intitulé « éliminer les déchets, entretien des plantes d’intérieur et du balcon », l’intimé a retenu que la recourante pouvait descendre la poubelle et trier les déchets avant son atteinte à la santé. Désormais, elle ne descend plus les déchets et son fils est en charge de cette tâche. L’enquêtrice retient que la recourante ne peut plus porter ce qui est lourd. Un taux d’empêchement de 75% a ainsi été pris en compte. Selon la recourante, un taux d’empêchement de 100% devrait être retenu en lien avec ce poste d’activité. Dans son écriture du 25 février 2025, l’intimé s’est contenté d’indiquer que le taux de 75% était conforme aux limitations fonctionnelles de la recourante. Il convient de souligner que l’enquêtrice, à propos de cette tâche, a constaté que la recourante n’était pas en mesure de porter des charges lourdes. Or, l’élimination et le tri des déchets d’une famille de cinq personnes implique le port de charges d’un poids qui paraît manifestement incompatible avec la fatigue et l’arthralgie dont souffre la recourante. L’intimé aurait ainsi dû retenir un empêchement total pour cette activité. Compte tenu des modifications susmentionnées, la recourante présente un empêchement global de 85% ([50% x 30%] + [100% x 50%] + [100% x 10%] + [100% x 10%]) dans le champ d’activité intitulé « entretien de l’appartement ou de la maison ».</w:t>
      </w:r>
    </w:p>
    <w:p>
      <w:r>
        <w:rPr>
          <w:b/>
        </w:rPr>
        <w:t>E. 10.5.3</w:t>
      </w:r>
    </w:p>
    <w:p>
      <w:r>
        <w:t>Concernant le poste intitulé « achats et courses diverses », la recourante ne conteste que le taux d’empêchement de 50% retenu en lien avec l’activité des achats. Le rapport mentionne qu’avant son atteinte à la santé, la recourante effectuait les courses avec son mari dans les supermarchés à proximité ou en France. Désormais, elle peut encore sortir acheter des choses légères, mais le gros des courses est effectué par sa fille ainée ou par son mari. Elle dit accompagner souvent sa fille pour sortir un peu. Le rapport précise encore que la recourante vit au centre-ville et que les commerces sont situés à quelques minutes à pied. Dans son écriture du 25 février 2025, l’intimé relève que l’enquêtrice a tenu compte du fait que la recourante ne peut plus porter de courses lourdes, raison pour laquelle un empêchement de 50% a été pris en compte. Contrairement à ce que soutient la recourante, le taux d’empêchement de 50% n’est pas critiquable. Bien que le rapport d’enquête mentionne que « le gros des courses » est effectué par des membres de la famille de la recourante et que cette dernière ne peut se charger que de l’achat de produits légers, il peut être exigé d’elle qu’elle ait recours aux achats en ligne, avec livraison à domicile, comme la</w:t>
      </w:r>
    </w:p>
    <w:p>
      <w:r>
        <w:t>A/262/2025 - 20/26 - chambre de céans l’a déjà retenu dans son arrêt du 13 juin 2023 (ATAS/429/2023 consid. 9.2).</w:t>
      </w:r>
    </w:p>
    <w:p>
      <w:r>
        <w:rPr>
          <w:b/>
        </w:rPr>
        <w:t>E. 10.5.4</w:t>
      </w:r>
    </w:p>
    <w:p>
      <w:r>
        <w:t>Concernant enfin le champ d’activité intitulé « lessives et entretien des vêtements », la recourante conteste dans un premier temps le taux d’empêchement de 50% retenu pour les activités de « lessives, trier le linge, le transporter, remplir la machine, la mettre en marche, sortir le linge, le mettre/sortir dans le sèche-linge, le pendre-dépendre ». Le rapport mentionne que la recourante faisait, avant son atteinte à la santé, entre deux et trois machines par jour car son fils se change très souvent. Elle ne repassait pas mais faisait sécher le linge dans le séchoir de la buanderie de l’immeuble. Depuis son atteinte à la santé, la fille de la recourante se charge quotidiennement de faire sécher le linge au sous-sol. La recourante estime que son taux d’empêchement devrait s’élever à 75%, dès lors qu’elle ne peut plus descendre le linge elle-même, ni porter une panière à linge avec des vêtements sales, les sortir et les disposer dans la machine à laver. Le raisonnement de la recourante ne saurait être retenu. En effet, le rapport d’enquête mentionne que sa fille s’occupe désormais de descendre le linge pour le faire sécher au sous-sol, sans toutefois indiquer que la recourante n’effectuerait plus les machines elle-même, étant précisé que la machine à laver le linge se trouve dans sa salle de bains. À cet égard, la recourante ne soutient pas que ses déclarations auraient été consignées de façon incomplète par l’intimé et se limite à alléguer, dans sa réplique du 16 avril 2025, qu’elle ne pourrait pas s’occuper seule des nombreuses lessives de la famille. Par conséquent, le taux de 50% retenu par l’enquêtrice ne prête pas flanc à la critique. Enfin, concernant le fait de repasser, plier et ranger le linge, l’intimé a retenu un taux d’empêchement de 50%. Le rapport d’enquête relate qu’avant son atteinte à la santé, la recourante pliait et rangeait le linge, mais ne le repassait pas. Actuellement, elle peut encore participer un peu pour plier les petites choses, mais le gros du travail est fait par sa fille. L’enquêtrice retient à cet égard qu’en restant assise à une table, l’assurée peut plier les petites pièces. La recourante soutient à raison que ce taux devrait être porté à 75%. En effet, l’enquêtrice a indiqué que le gros du travail était effectué par la fille de la recourante et que cette dernière ne pouvait que plier les petites pièces du linge. La majeure partie de cette tâche n’est ainsi plus effectuée par la recourante. Son taux d’empêchement dans cette activité s’élève ainsi à 62.5%, arrondi à 63% ([50% x 50%] + [50% x 75%]). En résumé, le taux d’empêchement global de la recourante, sans tenir compte de l’aide exigible de sa famille, s’élève à 71.80%. Domaines particuliers Pondération Empêchements sans aide</w:t>
      </w:r>
    </w:p>
    <w:p>
      <w:r>
        <w:t>A/262/2025 - 21/26 - exigible de la famille 1. Alimentation 31% 73% 2. Entretien du logement ou de la maison 19% 85% 3. Achats et courses diverses, tâches administratives 11% 45% 4. Lessive et entretien des vêtements 10% 63% 5. Soins et assistance aux enfants et aux proches 29% 75% 6. Soin du jardin et de l’extérieur de la maison et garde des animaux domestiques 0% 0% Total 100% 71.80%</w:t>
      </w:r>
    </w:p>
    <w:p>
      <w:r>
        <w:rPr>
          <w:b/>
        </w:rPr>
        <w:t>E. 10.6</w:t>
      </w:r>
    </w:p>
    <w:p>
      <w:r>
        <w:t>La recourante conteste ensuite le taux de l’aide exigible de sa famille, en soutenant que celle-ci est surévaluée. À titre liminaire, la chambre de céans observe que l’aide exigible de la famille dans chaque domaine ne ressort pas en tant que telle de l’enquête. Elle peut toutefois s’obtenir en soustrayant les empêchements « avec aide exigible de la famille » de ceux « sans aide exigible de la famille ». Par ailleurs, dans sa détermination du 9 décembre 2024, l’enquêtrice a précisé qu’elle avait retenu moins de quatre heures d’aide par jour pour la famille, à savoir 45 minutes pour le fils de la recourante, 1 heure par jour pour sa fille et une heure et demi pour son époux, en mentionnant que cette aide concernait toutes les activités de la vie et qu’elle était raisonnablement exigible de ces trois personnes en bonne santé. Dans son rapport d’enquête, l’enquêtrice a considéré que l’obligation de la famille de réduire le dommage de la recourante était de 39.6%, soit 18 heures et 17 minutes (18.28h). L’aide exigible de la famille telle que retenue par l’intimé peut être détaillée de la façon suivante :</w:t>
      </w:r>
    </w:p>
    <w:p>
      <w:r>
        <w:t>A/262/2025 - 22/26 - Domaines particuliers Aide de la famille en % Aide de la famille en heures Alimentation 31% (14.3h) 58% 8.3h Entretien du logement 19% (8.8h) 62% 5.5h Achats et courses diverses, tâches administratives 11% (5.1h) 45% 2.3h Lessive et entretien des vêtements 10% (4.6h) 50% 2.3h Soins et assistance aux enfants et aux proches 29% (13.4) 75% 0h</w:t>
      </w:r>
    </w:p>
    <w:p>
      <w:r>
        <w:t>18.3h S’agissant de l’alimentation, la recourante fait valoir que l’aide exigible de la famille retenue à hauteur de 58% par l’intimé est surévaluée et qu’elle devrait s’élever à 50% pour la préparation des repas, 25% pour le dressage et le débarrassage de la table et 25% pour le rangement de la cuisine. Selon elle, le rapport d’enquête ne tient pas compte du fait que son époux est absent, en semaine, aux heures des repas, de sorte qu’il ne peut pas l’aider pour les préparer, ni pour mettre et débarrasser la table, ni pour faire la vaisselle. La recourante relève également que l’enquêtrice n’a pas pris en considération la nouvelle formation entamée par la fille aînée de la recourante, laquelle implique un travail conséquent en semaine les week-ends. La dyslexie de cette dernière implique en outre qu’elle consacrer un temps accru à ses études. Les arguments de la recourante ne sauraient être suivis. En effet, elle perd de vue que la jurisprudence ne répercute pas sur un membre de la famille l'accomplissement de certaines activités ménagères, avec la conséquence qu'il faudrait se demander pour chaque empêchement si cette personne entre effectivement en ligne de compte pour l'exécuter en remplacement. Ce qui est seul déterminant, c'est le point de savoir comment se comporterait une cellule familiale raisonnable, soumise à la même réalité sociale, si elle ne pouvait pas s'attendre à recevoir des prestations d'assurance (cf. supra consid. 7.5). Or, une aide hebdomadaire de 8.2 heures paraît exigible si elle est répartie entre le mari de la recourante et ses deux aînés. En effet, elle correspond à une moyenne de 23 minutes par jour et par personne.</w:t>
      </w:r>
    </w:p>
    <w:p>
      <w:r>
        <w:t>A/262/2025 - 23/26 - L’absence de l’époux de la recourante lors des repas n’est pas non plus déterminante, étant donné qu’il peut prendre part à leur préparation lors de sa présence au domicile, en prévision des repas de midi et du soir. Il en va de même s’agissant des enfants aînés de la recourante. Il convient d’ailleurs de relever qu’à teneur du rapport d’enquête, le mari de la recourante et sa fille aînée contribuent déjà à la préparation des repas et à la vaisselle, étant relevé qu’une aide exigible doit aussi être retenue s’agissant du puîné de la recourante. Concernant l’entretien du logement, l’aide exigible de la famille de la recourante s’élève, en moyenne et par personne, à 16 minutes par jour selon le rapport d’enquête, ce qui n’est guère critiquable. Sans minimiser la charge que représente un emploi à 100% dans le secteur du nettoyage, l’époux de la recourante devrait effectivement, comme le soutient à raison l’intimé, s’occuper des tâches de nettoyage de son domicile s’il vivait seul. Il ressort d’ailleurs du rapport d’enquête et des écritures de la recourante que ses aînés contribuent à ces tâches. L’intimé a ensuite retenu une aide hebdomadaire exigible de 2.3h pour faire les achats et les courses diverses. Celle-ci est raisonnable dans la mesure où le gros des courses peut être effectué le week-end par l’époux de la recourante, qui travaille la semaine, ainsi que par ses enfants aînés. Il paraît effectivement exigible que ces trois personnes consacrent en moyenne 50 minutes par semaine à cette tâche. Le même raisonnement s’applique à la lessive et à l’entretien des vêtements dans la mesure où l’aide exigible retenue par l’intimé s’élève également à 2.3h. Bien que la recourante soutienne que sa fille aînée n’est plus en mesure, en raison de sa formation, de contribuer dans la même mesure qu’auparavant à ces tâches, cette aide peut également être exigée de son fils et de son mari. Il convient désormais d’examiner s’il est exigible, d’un point de vue global, de répartir 18 heures et 17 minutes d’aide aux travaux ménagers entre l’époux de la recourante et ses deux aînés. À cet égard, il sied de rappeler que selon l'Enquête suisse sur la population active (ESPA) effectuée périodiquement par l'Office fédéral de la statistique, un père en couple élevant trois enfant effectuait en moyenne, en 2020, 23.6 heures de ménage par semaine, soit plus de trois heures par jour (table T 03.06.02.12, intitulé « travail domestique et familial : pères vivant en couple élevant 3 enfants ou plus selon la situation professionnelle et l'âge du plus jeune des enfants »). S’agissant de la fille aînée de la recourante, l’ESPA indique qu’une jeune adulte de cet âge qui vit chez ses parents consacre en moyenne 17,4 heures par semaine au travail domestique et familial (table T 03.06.00.01, population résidante permanente âgée de 15 ans et plus, pour l'année 2020, année la plus proche de celle de l’ouverture du droit à une éventuelle rente), soit près de 2,5h par jour. Compte tenu des statistiques susmentionnées, l’aide exigible de 18.17h retenue par l’intimé n’apparaît pas déraisonnable.</w:t>
      </w:r>
    </w:p>
    <w:p>
      <w:r>
        <w:t>A/262/2025 - 24/26 - Quant au fils de la recourante, un jeune adulte de son âge qui vit chez ses parents consacre en moyenne 11.9 heures au travail domestique et familial, selon le tableau précité. L’enquêtrice ayant estimé que la fille cadette de la recourante était trop jeune pour qu’une aide exigible lui soit imputée, il appert que les deux aînés et le mari de la recourante peuvent apporter une contribution raisonnable aux tâches ménagères. À cet égard, la recourante n’explique pas pour quelle raison son fils ne pourrait pas pleinement contribuer aux tâches ménagères. Par ailleurs, il ressort du certificat de scolarité du 17 janvier 2025 produit par la recourante que sa fille aînée a entamé, au mois de septembre 2024, un Bachelor en architecture au sein de IPAC Design Genève. Bien qu’une formation de ce genre représente une charge de travail non négligeable, ce d’autant plus si la fille aînée de la recourante souffre de dyslexie, il n’en demeure pas moins que l’aide exigible retenue par l’enquêtrice à son endroit est largement inférieure à celle qui ressort des statistiques ESPA. Quant au mari de la recourante, le fait que celui-ci travaille à plein temps ne le dispense pas de contribuer aux tâches ménagères, ce d’autant plus que la durée de l’aide exigible qui lui est imputée par l’enquêtrice est elle-aussi largement inférieure à celle qui figure dans les statistiques ESPA. Compte tenu de ce qui précède, il n’y a pas lieu de réduire l’aide exigible de la famille de la recourante telle que l’intimé l’a déterminée. Bien que la recourante n’ait pas formellement conclu à son audition, ni à celle de son époux, ces offres de preuves figurent sous la plupart des allégués de son recours. Dans la mesure où le rapport d’enquête est suffisamment probant, à l’exception des points modifiés par la chambre de céans, cette dernière renoncera, par appréciation anticipée des preuves, à entendre la recourante et son époux.</w:t>
      </w:r>
    </w:p>
    <w:p>
      <w:r>
        <w:rPr>
          <w:b/>
        </w:rPr>
        <w:t>E. 10.7</w:t>
      </w:r>
    </w:p>
    <w:p>
      <w:r>
        <w:t>Le calcul du taux d’invalidité de la recourante doit ainsi être calculé comme suit. Empêchements avant de réduire le dommage 33.17h 71.80% Obligation de réduire le dommage exigible des membres de la famille 18.17h 39.60% Empêchements après obligation de réduire le dommage 15h 32.20%</w:t>
      </w:r>
    </w:p>
    <w:p>
      <w:r>
        <w:t>A/262/2025 - 25/26 -</w:t>
      </w:r>
    </w:p>
    <w:p>
      <w:r>
        <w:rPr>
          <w:b/>
        </w:rPr>
        <w:t>E. 10.8</w:t>
      </w:r>
    </w:p>
    <w:p>
      <w:r>
        <w:t>Le taux de 32% est inférieur au taux d’invalidité minimal de 40% requis par la loi pour bénéficier d’une rente de l’assurance-invalidité (art. 28 al. 2 LAI).</w:t>
      </w:r>
    </w:p>
    <w:p>
      <w:r>
        <w:rPr>
          <w:b/>
        </w:rPr>
        <w:t>E. 11</w:t>
      </w:r>
    </w:p>
    <w:p>
      <w:r>
        <w:t>Compte tenu de ce qui précède, le recours est rejeté. La recourante, qui succombe, n’a pas droit à des dépens (art. 61 let. g LPGA). Celle-ci plaidant au bénéfice de l’assistance juridique, la chambre de céans renoncera à la perception d’un émolument (art. 69 al. 1bis LAI et 13 al. 1 du règlement sur les frais, émoluments et indemnités en procédure administrative du 30 juillet 1986 [RFPA - E 5 10.03].</w:t>
      </w:r>
    </w:p>
    <w:p>
      <w:r>
        <w:t>A/262/2025 - 26/26 -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