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ATAS/603/2023 vom 14. August 2023</w:t>
      </w:r>
    </w:p>
    <w:p>
      <w:r>
        <w:t>GE Cour de justice, 2023-08-14, FR</w:t>
      </w:r>
    </w:p>
    <w:p>
      <w:r>
        <w:rPr>
          <w:b/>
        </w:rPr>
        <w:t xml:space="preserve">Quelle: </w:t>
      </w:r>
      <w:r>
        <w:t>https://mcp.opencaselaw.ch/entscheid/ge_gerichte_ATAS_603_2023</w:t>
      </w:r>
    </w:p>
    <w:p>
      <w:r>
        <w:t>FR: GE_GERICHTE ATAS/603/2023 du 14 août 2023</w:t>
      </w:r>
    </w:p>
    <w:p>
      <w:r>
        <w:t>IT: GE_GERICHTE ATAS/603/2023 del 14 agosto 2023</w:t>
      </w:r>
    </w:p>
    <w:p>
      <w:pPr>
        <w:pStyle w:val="Heading2"/>
      </w:pPr>
      <w:r>
        <w:t>Erwägungen</w:t>
      </w:r>
    </w:p>
    <w:p>
      <w:r>
        <w:rPr>
          <w:b/>
        </w:rPr>
        <w:t>E. 1</w:t>
      </w:r>
    </w:p>
    <w:p>
      <w:r>
        <w:t>La compétence de la chambre de céans pour juger du cas d’espèce ainsi que la recevabilité du recours ont été admises dans l’ordonnance du 9 mars 2022.</w:t>
      </w:r>
    </w:p>
    <w:p>
      <w:r>
        <w:rPr>
          <w:b/>
        </w:rPr>
        <w:t>E. 2</w:t>
      </w:r>
    </w:p>
    <w:p>
      <w:r>
        <w:t>Le litige porte sur la date de stabilisation de l’état de santé du recourant et le droit de celui-ci à une rente d’invalidité ainsi que sur le montant de l’IPAI.</w:t>
      </w:r>
    </w:p>
    <w:p>
      <w:r>
        <w:t>A/2017/2020 - 11/27 -</w:t>
      </w:r>
    </w:p>
    <w:p>
      <w:r>
        <w:rPr>
          <w:b/>
        </w:rPr>
        <w:t>E. 2.2</w:t>
      </w:r>
    </w:p>
    <w:p>
      <w:r>
        <w:t>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A/2017/2020 - 14/27 -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4.1</w:t>
      </w:r>
    </w:p>
    <w:p>
      <w:r>
        <w:t>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w:t>
      </w:r>
    </w:p>
    <w:p>
      <w:r>
        <w:rPr>
          <w:b/>
        </w:rPr>
        <w:t>E. 4.2</w:t>
      </w:r>
    </w:p>
    <w:p>
      <w:r>
        <w:t>La responsabilité de l’assureur-accidents s’étend, en principe, à toutes les conséquences dommageables qui se trouvent dans un rapport de causalité naturelle (ATF 129 V 177 consid. 3.1 et les références ; ATF 129 V 402 consid. 4.3.1 et les références) et adéquate avec l’événement assuré (ATF 129 V 177 consid. 3.2 et la référence ; ATF 129 V 402 consid. 2.2 et les références).</w:t>
      </w:r>
    </w:p>
    <w:p>
      <w:r>
        <w:rPr>
          <w:b/>
        </w:rPr>
        <w:t>E. 4.3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ATF 125 V 195 consid. 2).</w:t>
      </w:r>
    </w:p>
    <w:p>
      <w:r>
        <w:rPr>
          <w:b/>
        </w:rPr>
        <w:t>E. 5</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6</w:t>
      </w:r>
    </w:p>
    <w:p>
      <w:r>
        <w:t>A/2017/2020 - 12/27 -</w:t>
      </w:r>
    </w:p>
    <w:p>
      <w:r>
        <w:rPr>
          <w:b/>
        </w:rPr>
        <w:t>E. 6.1</w:t>
      </w:r>
    </w:p>
    <w:p>
      <w:r>
        <w:t>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6.2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rPr>
          <w:b/>
        </w:rPr>
        <w:t>E. 6.2.1</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w:t>
      </w:r>
    </w:p>
    <w:p>
      <w:r>
        <w:rPr>
          <w:b/>
        </w:rPr>
        <w:t>E. 6.2.2</w:t>
      </w:r>
    </w:p>
    <w:p>
      <w:r>
        <w:t>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t>A/2017/2020 - 13/27 -</w:t>
      </w:r>
    </w:p>
    <w:p>
      <w:r>
        <w:rPr>
          <w:b/>
        </w:rPr>
        <w:t>E. 6.2.3</w:t>
      </w:r>
    </w:p>
    <w:p>
      <w:r>
        <w:t>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 du Tribunal fédéral 8C_619/2018 du 7 mars 2019 consid. 3.3).</w:t>
      </w:r>
    </w:p>
    <w:p>
      <w:r>
        <w:rPr>
          <w:b/>
        </w:rPr>
        <w:t>E. 6.2.4</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6.2.4.1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w:t>
      </w:r>
    </w:p>
    <w:p>
      <w:r>
        <w:rPr>
          <w:b/>
        </w:rPr>
        <w:t>E. 6.2.4.2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w:t>
      </w:r>
    </w:p>
    <w:p>
      <w:r>
        <w:rPr>
          <w:b/>
        </w:rPr>
        <w:t>E. 7.1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w:t>
      </w:r>
    </w:p>
    <w:p>
      <w:r>
        <w:rPr>
          <w:b/>
        </w:rPr>
        <w:t>E. 7.1.1</w:t>
      </w:r>
    </w:p>
    <w:p>
      <w:r>
        <w:t>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w:t>
      </w:r>
    </w:p>
    <w:p>
      <w:r>
        <w:t>A/2017/2020 - 15/27 -</w:t>
      </w:r>
    </w:p>
    <w:p>
      <w:r>
        <w:rPr>
          <w:b/>
        </w:rPr>
        <w:t>E. 7.1.2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7.1.3</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w:t>
      </w:r>
    </w:p>
    <w:p>
      <w:r>
        <w:t>A/2017/2020 - 16/27 -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8C_209/2020 du 18 janvier 2021 consid. 5.2.2). Ce critère est en principe admis en cas d’incapacité totale de travail de près de trois ans (arrêts du Tribunal fédéral 8C_547/2020 du 1er mars 2021, consid. 5.1 et 8C_600/2020 du 3 mai 2021). Ce critère n’est en revanche pas rempli dans le cas d’un assuré qui s’est trouvé en incapacité de travail totale pendant un peu plus d’une année (arrêt du Tribunal fédéral 8C_209/2020 précité), pendant un an et demi (arrêt du Tribunal fédéral 8C_627/2019 du 10 mars 2020, consid. 5.4.5), pendant vingt mois (arrêt du Tribunal fédéral 8C_93/2022, consid. 5.3), pendant 21 mois (arrêt du Tribunal fédéral 8C_600/2020 du 3 mai 2021) ou encore pendant deux ans et quatre mois (arrêt du Tribunal fédéral 8C_547/2020 du 1er mars 2021). Dans l’arrêt 8C_657/2013 du 3 juillet 2014 (consid. 5.4), le Tribunal fédéral a développé sa casuistique en cas de chute. Le Tribunal fédéral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w:t>
      </w:r>
    </w:p>
    <w:p>
      <w:r>
        <w:rPr>
          <w:b/>
        </w:rPr>
        <w:t>E. 7.2</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w:t>
      </w:r>
    </w:p>
    <w:p>
      <w:r>
        <w:t>A/2017/2020 - 17/27 -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 RAMA 1998 n° U 320 p. 602 consid. 3b).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w:t>
      </w:r>
    </w:p>
    <w:p>
      <w:r>
        <w:t>A/2017/2020 - 18/27 -</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130 III 321</w:t>
      </w:r>
    </w:p>
    <w:p>
      <w:r>
        <w:t>A/2017/2020 - 19/27 - consid. 3.2 et 3.3; ATF 126 V 353 consid. 5b ; ATF 125 V 193 consid. 2 et les références). Aussi n’existe-t-il pas, en droit des assurances sociales, un principe selon lequel l’administration ou le juge devrait statuer, dans le doute, en faveur de l’assuré (ATF 135 V 39 consid. 6. 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l’occurrence, la chambre de céans a estimé que, du point de vue somatique, une expertise judicaire orthopédique était nécessaire, vu les avis médicaux au dossier qui divergeaient. Fondé sur toutes les pièces du dossier, y compris un examen Spect-CT récent du pied droit, comprenant une anamnèse, la description des plaintes du recourant, des diagnostics et limitations fonctionnelles clairs, ainsi qu’une appréciation motivée de la capacité de travail, le rapport d’expertise judiciaire orthopédique répond aux critères jurisprudentiels précités pour qu’il lui soit reconnu une pleine valeur probante. Il en est de même du complément d’expertise du 9 février 2023, sous réserve de la date de stabilisation de l’état de santé (cf. consid. infra 10.2.2). Les experts judiciaires ont conclu à la stabilisation de l’état de santé à juin 2020, à l’exigibilité d’une activité adaptée aux limitations fonctionnelles du recourant à un taux de 100%, ainsi qu’à une IPAI d’un taux de 30%.</w:t>
      </w:r>
    </w:p>
    <w:p>
      <w:r>
        <w:rPr>
          <w:b/>
        </w:rPr>
        <w:t>E. 10.1</w:t>
      </w:r>
    </w:p>
    <w:p>
      <w:r>
        <w:t>Le recourant a déclaré se rallier dans son ensemble aux réponses et conclusions des experts, sous réserve de la capacité de travail totale reconnue dans une activité adaptée aux limitations fonctionnelles, celle de chef de chantier/conducteur de travaux ne lui étant pas accessible sans formation ; une baisse de rendement de 20-30% devait, en toute hypothèse, lui être accordée.</w:t>
      </w:r>
    </w:p>
    <w:p>
      <w:r>
        <w:rPr>
          <w:b/>
        </w:rPr>
        <w:t>E. 10.2</w:t>
      </w:r>
    </w:p>
    <w:p>
      <w:r>
        <w:t>Quant à l’intimée, elle a contesté les conclusions des experts déclarant probable le lien de causalité entre l’accident et les lombosciatalgies du recourant, tout comme la date de la stabilisation de l’état de santé fixée à juin 2020, ainsi que le taux de l’IPAI.</w:t>
      </w:r>
    </w:p>
    <w:p>
      <w:r>
        <w:rPr>
          <w:b/>
        </w:rPr>
        <w:t>E. 10.2.1</w:t>
      </w:r>
    </w:p>
    <w:p>
      <w:r>
        <w:t>S’agissant des lombosciatalgies, les experts ont relevé qu’elles étaient apparues quelques mois après l’accident, un premier bilan radiologique ayant été effectué en janvier 2018, puis une IRM en février 2018 montrant une hernie</w:t>
      </w:r>
    </w:p>
    <w:p>
      <w:r>
        <w:t>A/2017/2020 - 20/27 - discale avec compression radiculaire et un complément radiologique en juin 2018 montrant un pincement inter-somatique en L4-L5. Les experts mentionnent que, selon le recourant, la douleur lombaire est nettement moins handicapante que celle au pied droit et qu’il est possible que les lombosciatalgies étaient déjà présentes après l’accident, masquées par la gravité des autres atteintes. Le lien de causalité avec l’accident est, selon eux, probable. Les experts estiment cependant qu’ils ne sont pas spécialistes dans ce domaine. A priori, au vu des explications des experts, il n’existe pas suffisamment d’éléments permettant de reconnaitre un tel lien, au degré de la vraisemblance prépondérante. Cette question peut cependant rester ouverte dès lors que, selon les avis médicaux au dossier, les lombosciatalgies n’entrainent pas de limitations fonctionnelles supérieures à celles déjà retenues. À cet égard, la CRR avait déjà constaté des troubles statiques du rachis avec une discarthrose débutante et réduction de la lordose lombaire, des douleurs à la palpation du rachis dorsal sur toute la longueur, et avait noté un épisode de lumbago aigu en 2019. Les troubles du rachis du recourant semblent ainsi avoir été pris en compte lors de la fixation des limitations fonctionnelles du recourant par la CRR, soit un port de charge limité à 10-15 kg, la marche prolongée, les activités en position debout prolongée, l’utilisation répétée d’escaliers, les échelles et les positions contraignantes pour les chevilles. Ces limitations correspondent à celles retenues par le Dr K______ et l’intimée. Quoi qu’il en soit, le recourant ne prétend pas que les lombosciatalgies entraineraient des limitations fonctionnelles plus importantes que celles retenues. En outre, l’aggravation des lombosciatalgies invoquée par le recourant fin 2022 ne saurait modifier cette appréciation dès lors qu’il s’agit d’aggravation aigüe passagère telle que celle déjà relevée par la CRR (épisode de lumbago aigu) et qu’elle s’est produite postérieurement à la date de la décision litigieuse. Il sera à cet égard rappelé que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Au demeurant, la question du lien de causalité entre les lombosciatalgies et l’accident n’est pas déterminante.</w:t>
      </w:r>
    </w:p>
    <w:p>
      <w:r>
        <w:rPr>
          <w:b/>
        </w:rPr>
        <w:t>E. 10.2.2</w:t>
      </w:r>
    </w:p>
    <w:p>
      <w:r>
        <w:t>S’agissant de la stabilisation de l’état de santé, l’intimée l’a fixée au 1er décembre 2019 ; le recourant s’en rapporte à justice sur cette question. Les experts judicaires ont précisé, dans leur complément d’expertise du 9 février 2023, que dès lors que le recourant se déplaçait encore avec deux cannes, sans poser le pied au sol, en octobre 2019 et que tel n’était plus le cas lors de leur</w:t>
      </w:r>
    </w:p>
    <w:p>
      <w:r>
        <w:t>A/2017/2020 - 21/27 - consultation, il fallait admettre que le cas s’était stabilisé quelques mois plus tard, soit en juin 2020. Cependant, l’anamnèse faite par les experts mentionne que le port de cannes a été arrêté en janvier 2020 (expertise judiciaire p. 1). Dans ces conditions, la date de juin 2020 ne peut être suivie et il convient de retenir que l’état de santé du recourant s’est encore amélioré de façon significative au sens de la jurisprudence précitée - puisque le recourant a pu marcher sans l’aide de cannes à partir de janvier 2020 en poursuivant son traitement de physiothérapie - de sorte que l’état de santé n’était stabilisé qu’à cette dernière date, soit au jour où le recourant a pu abandonner l’utilisation des cannes et marcher en charge complète, date qu’il convient d’arrêter au 31 janvier 2020 (à cet égard arrêt du Tribunal fédéral 8C_329/2022 du 19 décembre 2022).</w:t>
      </w:r>
    </w:p>
    <w:p>
      <w:r>
        <w:rPr>
          <w:b/>
        </w:rPr>
        <w:t>E. 10.2.3</w:t>
      </w:r>
    </w:p>
    <w:p>
      <w:r>
        <w:t>S’agissant de la capacité de travail exigible, les experts ont retenu qu’elle était totale dans une activité adaptée aux limitations fonctionnelles du recourant. Celui-ci estime qu’au vu de son incapacité à maintenir de façon prolongée une position stable assise ou debout, avec l’obligation d’alterner les positions, de surcroît sans pouvoir porter de charge, une baisse de rendement de 20 à 30% devrait lui être accordée. Or, aucun motif ne permet en l’espèce de s’écarter des conclusions claires des experts, ce d’autant que la jurisprudence du Tribunal fédéral retient que le marché du travail offre un éventail suffisamment large d’activités légères dont en l’occurrence un nombre significatif est adapté aux limitations du recourant, donc exigible à un taux de 100%, et accessible sans aucune formation particulière (arrêts du Tribunal fédéral 9C 303/2022 du 31 mai 2023 concernant un assuré qui présentait des limitations d’absence de marche et de position fixe prolongées ; 8C 553/2011 du 21 octobre 2011). Par ailleurs, même si, comme le soutient le recourant, une activité de chef de chantier ne peut être exigible en l’état, une autre activité légère l’est, ce nonobstant l’absence de désignation par l’intimée d’activités précises. Les experts ont estimé que la capacité de travail totale du recourant était exigible « dès à présent ». Ils ne se sont toutefois pas prononcés sur la période antérieure, soit depuis la stabilisation de l’état de santé (que les experts ont fixée à juin 2020 et qui a été déterminée - comme relevé ci-dessus - à janvier 2020) jusqu’à leur examen clinique du 31 mai 2022. Or, en l’absence d’éléments permettant d’expliquer que l’état de santé du recourant entre le 1er février 2020 (voire le 30 juin 2020) et le 31 mai 2022 justifiait une incapacité de travail totale dans toute activité, par rapport à celui existant dès le 31 mai 2022, il y a lieu d’admettre que la capacité de travail de 100% est présente depuis janvier 2020, date de la stabilisation de l’état de santé du recourant. À cet égard, la mention que le recourant a ressenti depuis une année (soit depuis mai 2021) une nette baisse de la douleur et de l’hypersensibilité liée à la cicatrice</w:t>
      </w:r>
    </w:p>
    <w:p>
      <w:r>
        <w:t>A/2017/2020 - 22/27 - chirurgicale (rapport d’expertise judiciaire p. 2) ne permet pas de motiver de façon cohérente une exigibilité professionnelle seulement depuis le jour de l’examen clinique des experts du 31 mai 2022. Par appréciation anticipée des preuves, il sera ainsi renoncé à l’audition des Drs N______ et J______.</w:t>
      </w:r>
    </w:p>
    <w:p>
      <w:r>
        <w:rPr>
          <w:b/>
        </w:rPr>
        <w:t>E. 10.2.4</w:t>
      </w:r>
    </w:p>
    <w:p>
      <w:r>
        <w:t>S’agissant des troubles psychiques, le recourant requiert une expertise judicaire psychiatrique, après avoir constaté que les critères pour admettre l’existence d’un lien de causalité adéquate entre son atteinte et l’accident étaient réalisés.</w:t>
      </w:r>
    </w:p>
    <w:p>
      <w:r>
        <w:rPr>
          <w:b/>
        </w:rPr>
        <w:t>E. 10.2.4.1</w:t>
      </w:r>
    </w:p>
    <w:p>
      <w:r>
        <w:t>L’intimée a qualifié l’accident de gravité moyenne, ce qui n’est pas contesté par le recourant et ce qui peut être confirmé pour une chute d’environ 2 mètres dans le vide, en particulier au vu de la jurisprudence récente du Tribunal fédéral qui considère qu’une chute d’une hauteur entre 2 et 4 mètres dans le vide est qualifiée de gravité moyenne au sens strict (arrêt du Tribunal fédéral 8C_427/2022 du 28 février 2023). Or, en présence d’un tel accident, la jurisprudence exige que trois critères au moins doivent être réunis ou qu’un critère se soit manifesté de manière particulièrement marquante, ce qui n’est pas le cas en l’espèce.</w:t>
      </w:r>
    </w:p>
    <w:p>
      <w:r>
        <w:rPr>
          <w:b/>
        </w:rPr>
        <w:t>E. 10.2.4.2</w:t>
      </w:r>
    </w:p>
    <w:p>
      <w:r>
        <w:t>En effet, la chute d’un échafaudage d’une hauteur de 2 mètres ne saurait être considérée comme étant un accident particulièrement impressionnant ou dramatique ; quant aux lésions physiques, soit la fracture du calcanéum, même si les experts les ont estimées comme étant graves, il ne s’agit pas de lésions dont la gravité ou la nature est reconnue comme étant propre à développer des troubles psychiques ; par ailleurs il n’y a pas eu d’erreur dans le traitement médical ni la présence d’une longue incapacité de travail due aux atteintes somatiques dès lors qu’elle a duré 27 mois (soit du 9 novembre 2017 au 31 janvier 2020), correspondant à une durée inférieure à trois ans, laquelle est exigée par la jurisprudence. En revanche, il y lieu d’admettre que des complications importantes sont survenues par l’apparition d’un SDRC. Quant à la présence de douleurs physiques persistantes, cette question peut rester ouverte, dès lors que même si ce critère était admis, il ne permettrait pas de conclure à un lien de causalité adéquate entre les atteintes du recourant et l’accident. En effet, faute de trois critères réalisés et en l’absence également d’une intensité particulière des deux critères précités (le SDRC ayant disparu et les douleurs physiques persistantes n’empêchant pas une activité à un taux reconnu de 100%), le lien de causalité adéquate entre les éventuels troubles psychiques du recourant et l’accident ne saurait être admis.</w:t>
      </w:r>
    </w:p>
    <w:p>
      <w:r>
        <w:rPr>
          <w:b/>
        </w:rPr>
        <w:t>E. 10.2.4.3</w:t>
      </w:r>
    </w:p>
    <w:p>
      <w:r>
        <w:t>En conséquence, il n’est pas nécessaire d’ordonner une expertise judiciaire psychiatrique, les éventuels troubles psychiques du recourant ne pouvant être mis à la charge de l’intimée.</w:t>
      </w:r>
    </w:p>
    <w:p>
      <w:r>
        <w:t>A/2017/2020 - 23/27 -</w:t>
      </w:r>
    </w:p>
    <w:p>
      <w:r>
        <w:rPr>
          <w:b/>
        </w:rPr>
        <w:t>E. 10.3</w:t>
      </w:r>
    </w:p>
    <w:p>
      <w:r>
        <w:t>Au demeurant, il convient de constater que l’état de santé du recourant était stabilisé au 31 janvier 2020 et que dès le 1er février 2020, il était capable d’exercer une activité adaptée à ses limitations fonctionnelles à un taux de 100%. Partant, il a droit aux indemnités journalières jusqu’au 31 janvier 2020.</w:t>
      </w:r>
    </w:p>
    <w:p>
      <w:r>
        <w:rPr>
          <w:b/>
        </w:rPr>
        <w:t>E. 10.4</w:t>
      </w:r>
    </w:p>
    <w:p>
      <w:r>
        <w:t>Il convient encore d’examiner si son degré d’invalidité au 1er février 2020 lui donne le droit à une rente d’invalidité.</w:t>
      </w:r>
    </w:p>
    <w:p>
      <w:r>
        <w:rPr>
          <w:b/>
        </w:rPr>
        <w:t>E. 10.4.1</w:t>
      </w:r>
    </w:p>
    <w:p>
      <w:r>
        <w:t>L’intimée conclut à un degré d’invalidité nul ; son calcul se fonde, en prenant en compte l’année 2019, sur un revenu sans invalidité de CHF 55'809.- et un revenu d’invalide de CHF 60'969.- (basé sur l’ESS 2017, tableau TA1, homme, niveau 1, pour 41,7 h de travail par semaine, indexé à l’année 2019, avec un abattement de 10%). Le recourant prétend à un salaire sans invalidité, en 2017, de CHF 62'010.- (CHF 4'770.- x 13 mois) et à l’application d’un abattement sur le revenu d’invalide supérieur à un taux de 10%.</w:t>
      </w:r>
    </w:p>
    <w:p>
      <w:r>
        <w:rPr>
          <w:b/>
        </w:rPr>
        <w:t>E. 10.4.1.1</w:t>
      </w:r>
    </w:p>
    <w:p>
      <w:r>
        <w:t>S’agissant de l’abattement, aucun motif ne permet de l’augmenter. Le recourant fait valoir des limitations fonctionnelles physiques et psychiques. Or, les premières sont déjà prises en compte dans le taux d’abattement de 10% et les secondes n’entrent pas en considération, vu l’absence de lien de causalité adéquate entre les éventuels troubles psychiques et l’accident. Il fait aussi valoir son absence de formation et de permis de séjour. Or, un abattement en raison de l’absence d’expérience ou d’ancienneté dans une activité exigible de niveau 1 n’entre pas en ligne de compte (arrêt du Tribunal fédéral 8C 699/207 du 28 avril 2018 consid. 3.2) et, selon le fichier Calvin de l’office cantonal de la population et des migrations (ci-après : OCPM), le recourant est titulaire d’un livret B – attestation de séjour pour cas de rigueur. Un abattement supérieur au taux de 10% n’est ainsi pas justifié.</w:t>
      </w:r>
    </w:p>
    <w:p>
      <w:r>
        <w:rPr>
          <w:b/>
        </w:rPr>
        <w:t>E. 10.4.1.2</w:t>
      </w:r>
    </w:p>
    <w:p>
      <w:r>
        <w:t>Quant au revenu sans invalidité, même si celui requis par le recourant était pris en compte, le degré d’invalidité n’atteindrait pas le seuil de 10% donnant droit à une rente d’invalidité. En effet, le revenu sans invalidité, en 2017, serait de CHF 62'010.- (soit CHF 4'770.- x 13 mois). Indexé à l’année 2020, il est de CHF 63'384.- (+0,5 % en 2012, + 0,9% en 2019 et + 0,8% en 2020). Le revenu d’invalide, selon l’ESS 2020, tableau TA1, homme, niveau 1, est de CHF 63'132.- (CHF 5'261.- x 12 mois). Ramené à un horaire de travail hebdomadaire de 41,7 h (en 2020), il est de CHF 65'815.-. Compte tenu d’un abattement de 10%, il est de CHF 59'234.-. Le degré d’invalidité est ainsi de 7% : 63'384 - 59’234 = 6,54%, arrondi à 7%</w:t>
      </w:r>
    </w:p>
    <w:p>
      <w:r>
        <w:t>A/2017/2020 - 24/27 - 63’384 Ce degré n’ouvre pas le droit à une rente d’invalidité.</w:t>
      </w:r>
    </w:p>
    <w:p>
      <w:r>
        <w:rPr>
          <w:b/>
        </w:rPr>
        <w:t>E. 10.5</w:t>
      </w:r>
    </w:p>
    <w:p>
      <w:r>
        <w:t>S’agissant du taux de l’IPAI, l’intimée l’a fixé à un taux de 15% alors que les experts l’évaluent à un taux de 30%. Il convient de suivre cette dernière évaluation motivée et convaincante. En effet, les experts ont relevé que la gêne fonctionnelle dans les articulations sous-astragaliennes et péri-calcanéennes associée à des troubles fonctionnels douloureux après fracture justifie un taux de 25%, augmenté de 5% compte tenu de l’arthrose à venir de l’arrière et du médio-pied. Des signes arthrosiques étaient mis en évidence au niveau de toutes les articulations en cause et avaient un impact sur la symptomatologie du recourant. Dans leur complément d’expertise, les experts ont précisé le taux global de 30%, soit 15% pour l’arthrose sous-talienne, 10% pour le syndrome post-contusionnel et 5% pour l’aggravation certaine de l’arthrose, étant relevé que l’intimée admettait un taux de 30% pour une arthrose terminale de l’articulation sous- talienne. Ils ont relevé que la Dre S______ ne tenait pas compte du syndrome post-contusionnel de la coque talonnière qui participait à la plus grave symptomatologie du recourant et rendait son pied dysfonctionnel. Ils relèvent ainsi que ce taux de 30% est cohérent avec le taux maximal pour une arthrose grave sous-astragalienne (Tableau 5 de l’indemnisation des atteintes à l’intégrité selon la LAA, de l’intimée), ce qui peut être confirmé. Par ailleurs, ils estiment que la gêne fonctionnelle (taux de 10%) rend le pied dysfonctionnel, ce qui justifie une augmentation du taux de 15% retenu par l’intimée pour l’arthrose. Contrairement à l’avis de la Dre S______, les experts retiennent que ce syndrome post-contusionnel de la coque talonnière n’est pas dû à l’arthrose. Le taux de 30% de l’IPAI sera ainsi retenu.</w:t>
      </w:r>
    </w:p>
    <w:p>
      <w:r>
        <w:rPr>
          <w:b/>
        </w:rPr>
        <w:t>E. 11.1</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w:t>
      </w:r>
    </w:p>
    <w:p>
      <w:r>
        <w:t>A/2017/2020 - 25/27 - pris en charge par l'assurance-invalidité (arrêt du Tribunal fédéral 8C_312/2016 du 13 mars 2017 consid. 6.2). Dans la mesure où, en principe, les mêmes règles de procédure, à savoir les art. 43 à 49 LPGA,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par analogie lorsque le tribunal cantonal juge un complément d'instruction nécessaire et ordonne la mise en œuvre d'une expertise au lieu de renvoyer la cause à l'assureur-accidents.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(ATF 137 V 210 consid. 4.4.4).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(arrêt du Tribunal fédéral 8C_333/2019 du 18 septembre 2019 consid. 3).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11.2</w:t>
      </w:r>
    </w:p>
    <w:p>
      <w:r>
        <w:t>En l’occurrence, les frais de l’expertise judiciaire à hauteur de CHF 5'000.- seront mis à la charge de l’intimée, l’instruction médicale du cas ayant nécessité l’ordonnance d’une expertise judiciaire, selon les motifs exposés dans l’ordonnance d’expertise, en particulier l’absence d’une expertise administrative.</w:t>
      </w:r>
    </w:p>
    <w:p>
      <w:r>
        <w:t>A/2017/2020 - 26/27 -</w:t>
      </w:r>
    </w:p>
    <w:p>
      <w:r>
        <w:rPr>
          <w:b/>
        </w:rPr>
        <w:t>E. 12</w:t>
      </w:r>
    </w:p>
    <w:p>
      <w:r>
        <w:t>Au vu de ce qui précède, le recours sera partiellement admis et la décision litigieuse sera partiellement annulée. L’intimée sera condamnée à verser au recourant des indemnités journalières jusqu’au 31 janvier 2020 et une IPAI à un taux de 30%, sous déduction des prestations déjà versées.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A/2017/2020 - 27/27 -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