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ATAS/603/2021 vom 10. Juni 2021</w:t>
      </w:r>
    </w:p>
    <w:p>
      <w:r>
        <w:t>GE Cour de justice, 2021-06-10, FR</w:t>
      </w:r>
    </w:p>
    <w:p>
      <w:r>
        <w:rPr>
          <w:b/>
        </w:rPr>
        <w:t xml:space="preserve">Quelle: </w:t>
      </w:r>
      <w:r>
        <w:t>https://mcp.opencaselaw.ch/entscheid/ge_gerichte_ATAS_603_2021</w:t>
      </w:r>
    </w:p>
    <w:p>
      <w:r>
        <w:t>FR: GE_GERICHTE ATAS/603/2021 du 10 juin 2021</w:t>
      </w:r>
    </w:p>
    <w:p>
      <w:r>
        <w:t>IT: GE_GERICHTE ATAS/603/2021 del 10 giugno 2021</w:t>
      </w:r>
    </w:p>
    <w:p>
      <w:pPr>
        <w:pStyle w:val="Heading2"/>
      </w:pPr>
      <w:r>
        <w:t>Erwägungen</w:t>
      </w:r>
    </w:p>
    <w:p>
      <w:r>
        <w:rPr>
          <w:b/>
        </w:rPr>
        <w:t>E. 1</w:t>
      </w:r>
    </w:p>
    <w:p>
      <w:r>
        <w:t>a. Selon l’art. 73 al. 1 de la loi fédérale sur la prévoyance professionnelle, vieillesse, survivants et invalidité du 25 juin 1982 (LPP – RS 831.40), chaque canton désigne un tribunal qui connaît, en dernier instance cantonale, des contestations opposant institutions de prévoyance, employeurs et ayants droits. La voie à suivre est celle de l’action (ATF 115 V 224 consid. 2), étant précisé que le for de l’action est au siège ou domicile suisse du défendeur ou au lieu de l’exploitation dans laquelle l’assuré a été engagé (art. 73 al. 3 LPP).</w:t>
      </w:r>
    </w:p>
    <w:p>
      <w:r>
        <w:t>A/3597/2020 - 10/22 -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142a du Code civil [CC – RS 210]). b. Dans le cadre de contestations opposant institutions de prévoyance, employeurs et ayants droits,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savoir les institutions de prévoyance, les employeurs et les ayants droits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c. Le for de l’action est au siège ou domicile suisse du défendeur ou au lieu de l’exploitation dans laquelle l’assuré a été engagé (art. 73 al. 2 LPP). En l’espèce, le demandeur est un éventuel ayant droit au sens de l’art. 73 al. 1 LPP et le litige relève manifestement du droit de la prévoyance professionnelle, puisqu’il concerne des prestations d’invalidité que la défenderesse aura à verser en cas d’admission de la demande, de sorte qu’il est régi par les art. 73 LPP et 134 al. 1 let. b LOJ. Par ailleurs, le lieu de l’exploitation dans laquelle le demandeur a été engagé se trouve à Genève. La chambre de céans est ainsi compétente pour connaître du litige, tant ratione materiae que ratione loci.</w:t>
      </w:r>
    </w:p>
    <w:p>
      <w:r>
        <w:rPr>
          <w:b/>
        </w:rPr>
        <w:t>E. 2</w:t>
      </w:r>
    </w:p>
    <w:p>
      <w:r>
        <w:t>L’ouverture de l’action prévue à l’art. 73 al. 1 LPP n’est soumise, comme telle, à l’observation d’aucun délai (Vincent SPIRA, Le contentieux des assurances sociales fédérales et la procédure cantonale, Recueil de jurisprudence neuchâteloise, 1984, p. 19).</w:t>
      </w:r>
    </w:p>
    <w:p>
      <w:r>
        <w:t>A/3597/2020 - 11/22 - La demande respecte en outre la forme prévue à l’art. 89B de la loi sur la procédure administrative du 12 septembre 1985 (LPA – E 5 10). Partant, elle est recevable.</w:t>
      </w:r>
    </w:p>
    <w:p>
      <w:r>
        <w:rPr>
          <w:b/>
        </w:rPr>
        <w:t>E. 3</w:t>
      </w:r>
    </w:p>
    <w:p>
      <w:r>
        <w:t>En l’espèce, il est admis par les parties que le demandeur pourrait en principe prétendre, de la part de la défenderesse, à une rente entière d’invalidité annuelle de CHF 25’327.80 pour la période du 1er septembre 2011 au 30 novembre 2016. Est seul litigieux le point de savoir si les prestations servies par d’autres assurances sociales au cours de ce laps de temps font obstacle au versement de cette rente, en tout ou partie.</w:t>
      </w:r>
    </w:p>
    <w:p>
      <w:r>
        <w:rPr>
          <w:b/>
        </w:rPr>
        <w:t>E. 4</w:t>
      </w:r>
    </w:p>
    <w:p>
      <w:r>
        <w:t>a. La novelle du 3 octobre 2003 modifiant la LPP (1ère révision) est entrée en vigueur le 1er janvier 2005 (sous réserve de certaines dispositions dont l’entrée en vigueur a été fixée au 1er avril 2004 et au 1er janvier 2006 ; RO 2004 1700), entraînant la modification de nombreuses dispositions légales dans le domaine de la prévoyance professionnelle (RO 2004 1677). L’ordonnance sur la prévoyance professionnelle vieillesse, survivants et invalidité du 18 avril 1984 (OPP 2 – RS 831.441.1) a fait l’objet de quelques modifications le</w:t>
      </w:r>
    </w:p>
    <w:p>
      <w:r>
        <w:rPr>
          <w:b/>
        </w:rPr>
        <w:t>E. 4.2</w:t>
      </w:r>
    </w:p>
    <w:p>
      <w:r>
        <w:t>et les références). e. Dans l’arrêt 9C_48/2007 précité, le Tribunal fédéral a considéré que dans la mesure où une disposition du règlement de prévoyance litigieux prévoyait une limite de surindemnisation équivalant à « 100% du traitement brut, allocations familiales comprises », ces termes du règlement, – qui, en tant que conditions générales du contrat de prévoyance liant les parties devaient s’interpréter selon les règles générales sur l’interprétation des contrats – ne faisaient pas appel à une notion variable ou hypothétique (au moyen d’expressions telles que : « salaire présumé perdu » ou « salaire hypothétique qu’aurait perçu l’assuré »), de sorte que seul était déterminant, selon la lettre claire de la disposition réglementaire, le revenu brut effectivement réalisé par l’assuré, sans qu’il soit tenu compte des augmentations possibles de salaire qu’il aurait pu réaliser par la suite si le risque assuré n’était pas survenu. En ce sens, l’institution de prévoyance avait prévu une réglementation plus restrictive que celle de l’art. 24 al. 1 aOPP 2 (arrêt du Tribunal 9C_48/2007 du 20 août 2007 consid. 6.2). 8. a. Il convient d’examiner à présent si le règlement de prévoyance de la défenderesse prévoit, pour sa part, une règlementation s’écartant du régime de l’art. 24 aOPP 2. À titre liminaire, il sied de relever que l’hypothèse d’une modification du salaire après la survenance du risque assuré est réglée par deux groupes de dispositions. Le premier, régi par les art. 3.2.5 et 3.2.7 RP 2011, concerne les répercussions d’une telle modification sur le montant de la rente d’invalidité de la prévoyance professionnelle, alors que le second, réglé par le titre 5.5 du RP 2011 (« Relations avec d’autres assurances »), concerne notamment la question d’une éventuelle</w:t>
      </w:r>
    </w:p>
    <w:p>
      <w:r>
        <w:t>A/3597/2020 - 16/22 - « surassurance » (cf. la note marginale de l’art. 5.5.2 RP 2011). Dans la mesure où il n’est pas contesté (et n’apparaît pas contestable au regard de l’art. 3.2.7 al. 2 RP 2011) que le montant de la rente d’invalidité de la prévoyance professionnelle s’est maintenu – à tout le moins de façon théorique – à CHF 25’327.80 par an pour la période du 1er septembre 2011 au 30 novembre 2016, les modifications du salaire que le recourant aurait connues sans son invalidité doivent être examinées uniquement sous l’angle de l’art. 5.5.2 RP 2011. b. Selon l’art. 5.5.2 al. 1 RP 2011, les prestations selon le présent règlement sont réduites dans la mesure où, ajoutées aux autres revenus à prendre en compte et, en cas de droit aux prestations d’invalidité, à un salaire de remplacement ou à un salaire provenant d’une activité lucrative qui continue ou qui pourrait raisonnablement continuer à être versé, elles dépasseraient 100% de la perte de gain présumée. Sont considérés comme des revenus à prendre en compte les prestations de l’AVS/AI, de l’assurance-accidents selon la LAA, de l’assurance militaire selon la LAM ainsi que des autres assurances sociales ou institutions de prévoyance suisses et étrangères (à l’exception des allocations pour impotent, des indemnités pour atteinte à l’intégrité et d’autres prestations semblables) (art. 5.5.2 al. 2 let. a RP 2011). Les prestations ou parties de prestations qui ne doivent pas être versées en vertu des dispositions du présent article, ou parce que le salaire entier continue d’être perçu, sont acquises à la fondation (art. 5.5.2 al. 5 RP 2011). c. La chambre de céans constate qu’en tant que l’art. 5.5.2 du RP 2011 fixe une limite de surindemnisation à 100% de la perte de gain présumée, il s’écarte de la limite de 90% de l’art. 24 al. 1 aOPP 2 et relève par conséquent de la prévoyance étendue. Pour le reste, l’art. 5.5.2 al. 2 let. a RP 2011 reprend le régime prévu par l’art. 24 al. 2 aOPP 2 s’agissant des revenus à prendre en compte. d. Il convient de rappeler que même si pour le moment déterminant du calcul de surindemnisation, il y a lieu de prendre en considération les facteurs de calcul au moment où se pose (pour la première fois) la question de la réduction des prestations pour cause de surindemnisation, cette réduction peut en principe être effectuée en tout temps (ci-dessus : consid. 4a), soit à la lumière des dispositions réglementaires alors applicables (cf. arrêt du Tribunal fédéral des assurances B 60/99 du 25 avril 2000 consid. 3c). Dans le cas concret, la question de savoir sur quelle version du règlement de prévoyance de la défenderesse il convient de se fonder n’a toutefois pas de portée pratique : on constate en effet que ce règlement n’a pas connu de modification des dispositions pertinentes après la naissance du droit à la rente d’invalidité du deuxième pilier. Cela concerne notamment les art. 3.2.7 et 5.5.2 précités, demeurés inchangés dans le RP 2015 également versé au dossier. Pour ces motifs, les dispositions du RP seront citées, ci-après, sans précision quant à l’édition du règlement auxquelles elles se rapportent.</w:t>
      </w:r>
    </w:p>
    <w:p>
      <w:r>
        <w:t>A/3597/2020 - 17/22 - e. Étant donné que la défenderesse a déclaré suspendre la rente d’invalidité du demandeur dès la naissance du droit au 1er septembre 2011, il y a lieu d’examiner le calcul de surindemnisation tel qu’il se présentait en 2011, étant rappelé que l’incapacité de gain du demandeur était également compensée, d’une part, par la rente d’invalidité de l’OAIE s’élevant à CHF 1’152.- par mois, respectivement CHF 13’824.- par année (soit : 12 x CHF 1’152.-), d’autre part, par les indemnités journalières de la SUVA à hauteur de CHF 164.35, correspondant à CHF 59’987.75 par année (soit : 365 x CHF 164.35) Selon le calcul exposé par la défenderesse dans sa réponse du 3 décembre 2020, la perte de gain présumée se monte invariablement à CHF 66’573.- ; en comparant ce montant à celui résultant de l’addition des indemnités journalières de la SUVA (CHF 59’987.75) et de la rente AI (CHF 13’824.-), on obtient un total de CHF 73’811.75, de sorte qu’il existe une surindemnisation à hauteur de CHF 7’238.75 (soit : CHF 73’811.75 sous déduction de CHF 66’573.-), laquelle fait obstacle au versement de prestations d’invalidité du deuxième pilier. Dans ses conclusions précisées du 22 février 2021, le demandeur ne conteste pas les bases de calcul pour 2011, mais à partir de 2012, en tirant argument des hausses de salaire que D______ a communiquées à la SUVA pour 2012 à 2016, afin que cette dernière puisse adapter le montant des indemnités journalières revenant au demandeur sur cette période.</w:t>
      </w:r>
    </w:p>
    <w:p>
      <w:r>
        <w:t>La chambre de céans constate que contrairement à ce qui est le cas pour la disposition réglementaire examinée dans l’arrêt 9C_48/2007 précité (ci-dessus : consid. 7e), l’art. 5.5.2 RP fait précisément appel à la notion hypothétique de « perte de gain présumée » – qui traduit fidèlement les termes de « mutmasslich entgange[r] Verdienst » de la version allemande faisant foi (cf. RP 2011, p. 33 in fine) – et qu’ainsi, le règlement de prévoyance de la défenderesse tient compte des augmentations possibles de salaire qu’un assuré aurait pu réaliser par la suite si le risque assuré n’était pas survenu. Sur ce point, le RP ne prévoit donc pas de régime différent des art. 24 al. 1 aOPP 2 et 24 al. 5 OPP 2, de sorte que la question d’un éventuel réexamen de la réduction des prestations de l’institution de prévoyance se pose nécessairement. Cependant, en l’absence de toute disposition du règlement de prévoyance régissant un tel réexamen, la chambre de céans appliquera, par analogie les principes jurisprudentiels applicables à l’art. 24 al. 5 OPP 2 (sur l’admissibilité de cette méthode : cf. Thomas GÄCHTER / Kaspar SANER, in SCHNEIDER, GEISER, GÄCHTER [éd.], LPP et LFLP, 2ème éd. 2020, p. 840, n. 24).</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w:t>
      </w:r>
    </w:p>
    <w:p>
      <w:r>
        <w:t>A/3597/2020 - 18/22 -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I.339/03 du 19 novembre 2003 consid. 2).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a. À la lumière des informations que D______ a transmises à la SUVA, la chambre de céans constate qu’il existe une divergence entre le salaire annuel que D______ a communiqué à l’OAI le 11 avril 2011 pour 2011 (CHF 66’573.-) et celui que cet employeur a transmis à la SUVA, pour la même année, le 20 mai 2016 (CHF 74’973.- ; cf. pce 37 demandeur). En étendant la comparaison des données salariales à 2010, il s’avère que, selon les informations en possession de la SUVA, le gain annuel du demandeur, composé du salaire (CHF 57’024.-), du treizième salaire (CHF 4’752.-, soit 1/12 de CHF 57’024.-) et d’un complément de salaire (CHF 4’996.20), représentait un total de CHF 66’772.20, déjà supérieur au revenu annuel 2011 communiqué le 11 avril 2011 à l’OAI. Dans la déclaration de sinistre (rechute) LAA du 23 juillet 2010, il est précisé que le montant de CHF 57’024.- correspondait au salaire de base contractuel brut, auquel s’ajoutait le treizième salaire (CHF 4’752.-) et le montant de CHF 4’996.20.- pour les autres compléments de salaires « p. ex à la tâche/commission/inc. pour trav. par équipes » (cf. dossier AI, doc. 19). Force est de constater que ces mêmes composantes du revenu se retrouvent en 2011 puisqu’il est fait mention, sur la base des informations que D______ a transmises à la SUVA (cf. pce 37 demandeur), d’une augmentation du salaire à CHF 74’973.-, prenant effet au 1er janvier 2011, se répartissant entre le salaire annuel (CHF 58’452.-), le treizième salaire (CHF 4’871.-) et le complément de salaire (CHF 11’650.-). En y regardant de plus près, on constate que le salaire que D______ a communiqué à l’OAI pour 2011 (CHF 66’573.-) correspond en réalité aux informations que cet employeur a transmises à la SUVA, à ceci près qu’une partie du complément de salaire, à savoir l’indemnité de permis (« license allowance ») de CHF 250.- (cf. dossier AI, doc 15), versée en treize mensualités, a été classée dans le salaire de base retenu par l’OAI ; en additionnant le salaire annuel (CHF 58’452.-), le treizième salaire (CHF 4’871.-) et l’indemnité de permis (CHF 3’250.-), on obtient</w:t>
      </w:r>
    </w:p>
    <w:p>
      <w:r>
        <w:t>A/3597/2020 - 19/22 - en effet CHF 66’573.-. Il s’ensuit que pour l’année 2011, la différence entre le salaire annuel de CHF 74’973.-, pris en compte par la SUVA, et celui de CHF 66’573.-, sur lequel se fonde l’OAI (à titre de revenu sans invalidité), s’explique par un complément de salaire réduit à CHF 8’400.- (= CHF 74’973.- sous déduction de CHF 66’573.-). À la lumière des contrats de travail et de leurs amendements successifs (cf. dossier AI, doc. 15), faisant mention, dès le départ, d’un horaire de travail irrégulier en fonction du plan de travail en équipes, on comprend que cette différence de CHF 8’400.- représente l’indemnité due pour ce type de travail. Les précisions apportées dans la déclaration de sinistre du 23 juillet 2010 vont dans le même sens. Aussi convient-il d’examiner s’il y a lieu de tenir compte d’un tel complément de salaire dans le revenu sans invalidité, en matière d’assurance-invalidité. b. Le revenu sans invalidité de l’art. 16 LPGA, auquel renvoie l’art. 28a LAI, correspond au salaire brut, y compris le treizième salaire, et tous les éléments de rémunération qui sont soumis à l’assurance-vieillesse et survivants. Il inclut notamment les indemnités versées pour un travail en équipes (arrêt du Tribunal fédéral U 182/04 du 25 novembre 2004 consid. 5.1 ; Margit MOSER-SZELESS, in Commentaire romand de la LPGA, n. 20 ad art. 16 LPGA et les arrêts cités ; cf. également les ch. 2001ss des Directives sur le salaire déterminant dans l’AVS, AI et APG [DSD]).</w:t>
      </w:r>
    </w:p>
    <w:p>
      <w:r>
        <w:rPr>
          <w:b/>
        </w:rPr>
        <w:t>E. 11</w:t>
      </w:r>
    </w:p>
    <w:p>
      <w:r>
        <w:t>a. Au vu de ce qui précède, la chambre de céans considère qu’il est établi, au degré de la vraisemblance prépondérante, que la présomption de concordance entre le revenu sans invalidité pris en compte par l’OAI (à hauteur de CHF 66’573.-) et le manque à gagner présumé des art. 24 al. 1 aOPP 2 et 5.5.2 RP est renversée par les éléments de rémunération complémentaires pris en compte par la SUVA, à savoir l’indemnité de travail en équipes. L’OAI, s’il en avait été informé, aurait également dû inclure cette indemnité dans le revenu sans invalidité en 2011, même si ce point n’avait pas de portée pratique pour le droit à une rente entière d’invalidité dès le 1er septembre 2011 puisque la perte de gain se confondait alors avec l’incapacité totale de travail de l’intéressé (cf. dossier AI, doc 200). Il s’ensuit qu’en 2011, la perte de gain présumée se montait à CHF 74’973.- et les autres revenus à prendre en compte à CHF 73’811.75 (CHF 59’987.75 pour les indemnités journalières de la SUVA et CHF 13’824.- pour la rente AI), ouvrant ainsi droit au versement d’une rente d’invalidité de la défenderesse à concurrence de la différence, soit CHF 1’161.25 par an. Pour le reste, force est de constater que ni la perte de gain présumée du demandeur, ni les indemnités journalières de la SUVA, ni la rente AI n’ont connu une adaptation d’au moins 10% de leurs montants entre 2012 et 2016. Aussi le montant dû par la défenderesse au demandeur s’est-il maintenu à CHF 1’161.25 par an, du 1er septembre 2011 au 30 novembre 2016, ce qui représente, sur 63 mois, la somme de CHF 6’096.55. Il ressort cependant de la décision de l’OAIE du 5 février 2019, plus précisément du complément d’information qu’elle comporte (cf. p. 4) que lorsque l’indemnité</w:t>
      </w:r>
    </w:p>
    <w:p>
      <w:r>
        <w:t>A/3597/2020 - 20/22 - journalière succède à la rente AI, celle-ci est accordée sans réduction, en plus de l’indemnité journalière, au plus tard jusqu’à la fin du troisième mois civil entier qui suit le début des mesures d’instruction ou de réadaptation. Toutefois, durant la période de double perception (du 1er septembre 2016 au 30 novembre 2016), l’indemnité journalière est réduite d’un trentième du montant de la rente (art. 47 al. 1ter LAI). En l’espèce, il résulte de la décision d’indemnité journalière du 21 octobre 2016 de l’OAIE que le demandeur avait droit, durant son reclassement, à une indemnité journalière de CHF 164.35, pour la période du 1er septembre 2016 au 31 juillet 2017. Après application de la réduction d’un trentième du montant de la rente AI (CHF 38.85, soit CHF 1'166.- / 30), mentionnée dans la décision du 5 février 2019 de l’OAIE, le montant de l’indemnité journalière AI s’élève encore à CHF 125.50, ce qui représente CHF 45'807.50 par an. En y ajoutant les autres revenus à prendre en compte dans le cas particulier, soit les indemnités journalières de la SUVA ainsi que la rente de l’OAIE, la somme des prestations reçues par le demandeur dépasse sa perte de gain présumée du 1er septembre 2016 au 30 novembre 2016, faisant ainsi obstacle au versement de la rente d’invalidité de la prévoyance professionnelle sur cette période de trois mois. Il s’ensuit que la durée de versement de cette rente est réduite de 63 à 60 mois et la somme due au demandeur à CHF 5'806.25. b. Si l’institution de prévoyance ne s’acquitte pas dans les délais de son obligation de verser la prestation, se pose alors la question du versement d’intérêts moratoires. Conformément à la jurisprudence constante du Tribunal fédéral rendue dans le domaine de la prévoyance professionnelle, il y a lieu d’appliquer aux prestations de rente l’art. 105 al. 1 CO, qui prévoit que les intérêts moratoires commencent à courir qu’à partir du jour de la mise en poursuite ou de la demande en justice. Sauf disposition réglementaire dérogeant à l’art. 104 al. 1 CO, le montant des intérêts moratoires s’élève à 5% (Marc HÜRZELER, in op. cit., n. 8 ad art. 26 LPP). En l’espèce, aucune poursuite n’a été initiée à l’encontre de la défenderesse. La demande en justice ayant été formée le 9 novembre 2020, la somme de CHF 5'806.25 porte intérêts, dès cette date, au taux de 5% l’an, vu l’absence de disposition réglementaire contraire à ce sujet. c. Selon la jurisprudence relative à l’art. 3 al. 3 de la loi fédérale sur le libre passage dans la prévoyance professionnelle vieillesse, survivants et invalidité du 17 décembre 1993 (LFLP – RS 831.42), l’ancienne institution de prévoyance obligée de verser des prestations d’invalidité après avoir transféré la prestation de sortie à une institution de libre passage ne peut, ni ne doit, obtenir de l’institution de libre passage la restitution de la prestation de sortie. Elle n’a que la possibilité de sanctionner le défaut de restitution (de la part de l’assuré ou des survivants qui bénéficient des prestations en cas de décès de celui-ci) en réduisant les prestations dans la mesure correspondante (ATF 141 V 197 consid. 5.3).</w:t>
      </w:r>
    </w:p>
    <w:p>
      <w:r>
        <w:t>A/3597/2020 - 21/22 - Compte tenu de ce qui précède, le montant des prestations d’invalidité déterminées ci-dessus (consid. 11a) sera fonction, s’il y a lieu, de la restitution préalable de la prestation de sortie par le demandeur.</w:t>
      </w:r>
    </w:p>
    <w:p>
      <w:r>
        <w:rPr>
          <w:b/>
        </w:rPr>
        <w:t>E. 12</w:t>
      </w:r>
    </w:p>
    <w:p>
      <w:r>
        <w:t>Le demandeur, qui obtient partiellement gain de cause, a droit à une indemnité à titre de participation à ses frais et dépens que la chambre de céans fixera en l’espèce à CHF 1’500.- (art. 89H al. 3 LPA et art. 6 du règlement sur les frais, émoluments et indemnités en procédure administrative du 30 juillet 1986 [RFPA – RS E 5 10.03]). Pour le surplus, la procédure est gratuite (art. 89H al. 1 LPA).</w:t>
      </w:r>
    </w:p>
    <w:p>
      <w:r>
        <w:t>*****</w:t>
      </w:r>
    </w:p>
    <w:p>
      <w:r>
        <w:t>A/3597/2020 - 22/22 -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