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ATAS/603/2018 vom 27. Juni 2018</w:t>
      </w:r>
    </w:p>
    <w:p>
      <w:r>
        <w:t>GE Cour de justice, 2018-06-27, FR</w:t>
      </w:r>
    </w:p>
    <w:p>
      <w:r>
        <w:rPr>
          <w:b/>
        </w:rPr>
        <w:t xml:space="preserve">Quelle: </w:t>
      </w:r>
      <w:r>
        <w:t>https://mcp.opencaselaw.ch/entscheid/ge_gerichte_ATAS_603_2018</w:t>
      </w:r>
    </w:p>
    <w:p>
      <w:r>
        <w:t>FR: GE_GERICHTE ATAS/603/2018 du 27 juin 2018</w:t>
      </w:r>
    </w:p>
    <w:p>
      <w:r>
        <w:t>IT: GE_GERICHTE ATAS/603/2018 del 27 giugno 2018</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A/1372/2018 - 3/4 - La chambre de céans est ainsi compétente pour connaître de la demande de l'assuré.</w:t>
      </w:r>
    </w:p>
    <w:p>
      <w:r>
        <w:rPr>
          <w:b/>
        </w:rPr>
        <w:t>E. 2</w:t>
      </w:r>
    </w:p>
    <w:p>
      <w:r>
        <w:t>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E 5 10) et plus particulièrement par les art. 89A et ss. Selon l’art. 89B al. 1 LPA, le recours doit être signé et déposé en deux exemplaires par-devant la chambre des assurances sociales de la Cour de justice. Il doit également comporter des motifs et des conclusions. Si le mémoire n'est pas conforme à ces règles, un délai convenable est imparti à son auteur pour le compléter, étant précisé qu'en cas d'inobservation, le recours sera écarté (art. 89B al. 3 LPA).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(art. 9 al. 1 LPA).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exigent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ATA/108/2010 du 16 février 2010; ATA/619/2008 du 9 décembre 2008; ATA/527/2001 du 27 août 2001).</w:t>
      </w:r>
    </w:p>
    <w:p>
      <w:r>
        <w:rPr>
          <w:b/>
        </w:rPr>
        <w:t>E. 3</w:t>
      </w:r>
    </w:p>
    <w:p>
      <w:r>
        <w:t>En l'occurrence, le demandeur, dûment rendu attentif aux conséquences de l'irrégularité affectant sa demande, n'a pas réparé celle-ci dans le délai imparti en la signant ou en démontrant que son représentant avait la qualité de mandataire professionnellement qualifié lui permettant de le représenter en justice. Partant, sa demande doit être déclarée irrecevable, pour autant qu'elle ait encore un objet, ce qui n'apparaît plus être le cas, à teneur du dernier courrier adressé à la chambre de céans par le représentant de l'assuré.</w:t>
      </w:r>
    </w:p>
    <w:p>
      <w:r>
        <w:t>A/1372/2018 - 4/4 -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