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ATAS/603/2014 vom 13. Mai 2014</w:t>
      </w:r>
    </w:p>
    <w:p>
      <w:r>
        <w:t>GE Cour de justice, 2014-05-13, FR</w:t>
      </w:r>
    </w:p>
    <w:p>
      <w:r>
        <w:rPr>
          <w:b/>
        </w:rPr>
        <w:t xml:space="preserve">Quelle: </w:t>
      </w:r>
      <w:r>
        <w:t>https://mcp.opencaselaw.ch/entscheid/ge_gerichte_ATAS_603_2014</w:t>
      </w:r>
    </w:p>
    <w:p>
      <w:r>
        <w:t>FR: GE_GERICHTE ATAS/603/2014 du 13 mai 2014</w:t>
      </w:r>
    </w:p>
    <w:p>
      <w:r>
        <w:t>IT: GE_GERICHTE ATAS/603/2014 del 13 maggio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w:t>
      </w:r>
    </w:p>
    <w:p>
      <w:r>
        <w:t>A/3731/2013 - 6/12 -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2011, et, après le 1er janvier 2012 en fonction des modifications de la LAI, dans la mesure de leur pertinence (ATF 130 V 445 et les références; voir également ATF 130 V 329).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w:t>
      </w:r>
    </w:p>
    <w:p>
      <w:r>
        <w:rPr>
          <w:b/>
        </w:rPr>
        <w:t>E. 4</w:t>
      </w:r>
    </w:p>
    <w:p>
      <w:r>
        <w:t>Le délai de recours est de 30 jours (art. 60 al. 1 LPGA). Interjeté dans la forme et le délai prévus par la loi, le recours est recevable, en vertu des art. 56ss LPGA.</w:t>
      </w:r>
    </w:p>
    <w:p>
      <w:r>
        <w:rPr>
          <w:b/>
        </w:rPr>
        <w:t>E. 5</w:t>
      </w:r>
    </w:p>
    <w:p>
      <w:r>
        <w:t>Le litige porte sur le droit de l'assurée à des mesures professionnelles ou une rente, singulièrement sur l'aggravation de son état de santé depuis la décision de refus de 2008.</w:t>
      </w:r>
    </w:p>
    <w:p>
      <w:r>
        <w:rPr>
          <w:b/>
        </w:rPr>
        <w:t>E. 6</w:t>
      </w:r>
    </w:p>
    <w:p>
      <w:r>
        <w:t>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w:t>
      </w:r>
    </w:p>
    <w:p>
      <w:r>
        <w:t>A/3731/2013 - 7/12 -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(ATF 109 V 108, consid 2b). Lorsque l'administration entre en matière sur une nouvelle demande après un refus de prestations, elle doit instruire la cause et déterminer si la situation de fait s'est modifiée de manière à influencer les droits de l'assuré, par analogie à ce qui prévaut en cas de révision au sens de l'art. 17 LPGA (ATF 133 V 108). Lors d'un recours, le juge est tenu d'effectuer le même examen quant au fond (ATF 130 V 64 consid. 2 p. 66 et les arrêts cités). La révision du droit à la rente au sens de l'art. 17 LPGA suppose un changement dans les circonstances personnelles de l'assuré, relatives à son état de santé, à des facteurs économiques ou aux circonstances (hypothétiques) ayant déterminé le choix de la méthode d'évaluation de l'invalidité (ATF 117 V 198 consid. 3b p. 199), qui entraîne une modification notable du degré d'invalidité (ATF 133 V 545 consid. 6.1 p. 546 et 7.1 p. 548). Ainsi, lorsqu'un assuré qui se trouve proche de l'âge de la retraite présente une nouvelle demande et que l'administration décide d'entrer en matière sur celle-ci, les principes jurisprudentiels concernant ce genre de situations (cf. arrêts 9C_444/2010 du 20 décembre 2010 consid. 2.3, 9C_437/2008 du 19 mars 2009 consid. 4.2 in SVR 2009 IV n° 35 p. 98) s'appliquent sans restriction. Il s'agit en particulier d'examiner, même si la capacité de travail est demeurée inchangée dans un emploi adapté, si l'assuré a encore une chance de retrouver un emploi en raison de ses limitations fonctionnelles et de son âge, et, le cas échéant, de revoir l'abattement sur le salaire statistique en raison de l'âge de l'assuré (arrêt non publié du 9 juillet 2012; 9C_142/2012). Si l'âge exerce</w:t>
      </w:r>
    </w:p>
    <w:p>
      <w:r>
        <w:t>A/3731/2013 - 8/12 - une influence certaine dans l'évaluation du degré d'invalidité, dès lors qu'il intervient indirectement comme critère de réduction du revenu d'invalide (cf. ATF 126 V 75 consid. 5b/aa-cc p. 79) et directement lorsqu'il s'agit d'appréhender la situation particulière d'un assuré qui a atteint un «âge avancé» au moment de la naissance de droit (cf. notamment arrêts 9C_918/2008 du 28 mai 2009 consid. 4.2.2, 9C_437/2008 du 19 mars 2009 consid. 4 in SVR 2009 IV n° 35 p. 97 et I 819/04 du 27 mai 2005 consid. 2.2 et les références), tel ne saurait être le cas lors de l'examen des conditions d'une révision. En effet, l'écoulement du temps - qui est le seul motif de révision invoqué par la juridiction cantonale en l'occurrence, qui ne constitue pas une atteinte à la santé au sens de l'art. 3 et 4 LPGA (cf. arrêt 9C_844/2009 du 29 mars 2010 consid. 5) et qui est un paramètre inéluctable pour tous les assurés - ne peut en soi légitimer l'augmentation d'une rente, sinon tout bénéficiaire de rentes partielles approchant les soixante ans pourrait automatiquement exiger la révision de son droit et prétendre une rente entière (voir arrêts 9C_50/2010 du 6 août 2010; 9C_156/2011 du 6 septembre 2011). Si l'administration arrive à la conclusion que l'invalidité ou l'impotence ne s'est pas modifiée depuis sa précédente décision, entrée en force, elle rejette la demande. Dans le cas contraire, elle doit encore examiner si la modification constatée suffit à fonder une invalidité ou une impotence donnant droit à prestations, et statuer en conséquence. En cas de recours, le même devoir de contrôle quant au fond incombe au juge (ATF 117 V 198 consid. 3a; ATF 109 V 114 consid. 2a et b).</w:t>
      </w:r>
    </w:p>
    <w:p>
      <w:r>
        <w:rPr>
          <w:b/>
        </w:rPr>
        <w:t>E. 7</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w:t>
      </w:r>
    </w:p>
    <w:p>
      <w:r>
        <w:t>A/3731/2013 - 9/12 - description des interférences médicales soit claire et enfin que les conclusions de l'expert soient bien motivées (ATF 125 V 351 consid. 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ATF 9C_833/2007 du 4 juillet 2008, in Plädoyer 2009/1 p. 70; Arrêt du Tribunal fédéral des assurances I 35/03 du 24 octobre 2003 consid. 4.3 et les références, in Plädoyer 2004/3 p. 64; Arrêt du Tribunal fédéral 9C_512/2013 du 16 janvier 2014 consid. 5.2.1).</w:t>
      </w:r>
    </w:p>
    <w:p>
      <w:r>
        <w:rPr>
          <w:b/>
        </w:rPr>
        <w:t>E. 8</w:t>
      </w:r>
    </w:p>
    <w:p>
      <w:r>
        <w:t>Le juge des assurances sociales fonde sa décision, sauf dispositions contraires de la loi, sur les faits qui, faute d’être établis de manière irréfutable, apparaissent comme</w:t>
      </w:r>
    </w:p>
    <w:p>
      <w:r>
        <w:t>A/3731/2013 - 10/12 -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w:t>
      </w:r>
    </w:p>
    <w:p>
      <w:r>
        <w:t>En l'espèce, l'OAI s'est fondé sur le rapport d'examen rhumatologique du Dr F______, du SMR, pour refuser toutes prestations à l’assurée, au motif que le taux d’invalidité ne s’était pas notablement modifié depuis la dernière décision de refus, datant de 2008. Le rapport en question se fonde sur des examens complets, tient compte des plaintes exprimées, et a été établi en pleine connaissance du dossier médical de l’assurée. Le médecin a retenu une aggravation de l’état de santé dès novembre 2009, date de l’IRM lombaire mettant en évidence une majoration du débord discal circonférentiel L4-L5, avec rétrécissement foraminal L4 gauche. Depuis lors, alors que l’incapacité de travail était limitée à 50% dans l’activité habituelle, l’incapacité était devenue complète comme employée au tri postal. Par contre, en respectant les limitations fonctionnelles détaillées, la capacité de travail restait complète dans une activité adaptée, dès le 15 octobre 2007, sans changement. Le rapport tient également compte du dossier radiologique et de son évolution entre les images de juin et juillet 2007, celles de 2009 et celles de février 2011. Ainsi, le rapport du Dr F______ peut se voir reconnaître pleine valeur probante. Au demeurant, les rapports des Drs C______ et H______ ne permettent pas de remettre en cause la valeur probante de ce rapport, dès lors qu’ils ne font état que d’une majoration de la douleur, sans autre conclusion quant à la capacité de travail de l’assurée dans une activité adaptée. Quant au rapport du Dr I______ du 10 décembre 2013, il souligne d’une part qu’il n’y a pas de changement majeur par rapport à son rapport de 2011 et qu’il convient, face à une situation chronique douloureuse, de fixer des objectifs fonctionnels (reprise de la marche et des activités quotidiennes, physiothérapie active, etc.). L’avis du Dr I______ rejoint celui du SMR, s’agissant d’une bonne conservation de la mobilité et du fait que les lombalgies mécaniques et les occasionnelles sciatalgies gauches ne sont pas irritatives. Sans se prononcer sur la capacité de travail dans une activité adaptée, le Dr I______ retient toutefois une capacité résiduelle, puisqu’il préconise une reconversion dans une activité sans position statique prolongée ou port de charges. Les limitations retenues sont ainsi même moins importantes que celles admises par le Dr F______. Ainsi, ni les médecins-traitants, ni le Dr I______ n’ont fait état d’éléments objectivement vérifiables ayant été ignorés dans le cadre de l’examen</w:t>
      </w:r>
    </w:p>
    <w:p>
      <w:r>
        <w:t>A/3731/2013 - 11/12 - rhumatologique du SMR et qui seraient suffisamment pertinents pour remettre en cause les conclusions du Dr F______. C’est donc à juste titre que l’OAI a considéré que, malgré l’aggravation de l’état de santé de l’assurée, celle-ci était restée entièrement capable de travailler dans une activité adaptée à ses limitations fonctionnelles. C’est également conformément au droit que l’OAI n’a pas procédé à un nouveau calcul du taux d’invalidité. En effet, l’écoulement du temps et l’augmentation de l’âge de l’assurée ne permettent pas d’appliquer un abattement de 15% sur le salaire d’invalide, au lieu des 10% retenus en 2008, ce qui ferait passer le taux d’invalidité à 41% et ouvrirait ainsi le droit à un quart de rente d’invalidité. Ainsi, la décision de refus de toute rente d’invalidité est justifiée, le taux d’invalidité étant demeuré en- dessous de 40%. Ainsi, en application de la jurisprudence, l’OAI, parvenant à la conclusion que l’invalidité ne s’était pas modifiée depuis sa précédente décision, a rejeté la demande, tant du point de vue de la rente que des mesures professionnelles. En 2008, un reclassement avait été refusé, au motif que l’assurée avait compromis sa reconversion dans le cadre de B______ et, surtout, qu’elle avait toujours affirmé être incapable de travailler dans toute activité au-delà de 50%, malgré le fait que l’ensemble des médecins lui reconnaissait une capacité de travail de 100% dans une activité adaptée. A cet égard, la conviction de l’assurée ne s’est apparemment pas modifiée et elle a été au surplus entretenue par le rapport de l’entreprise PRO qui a retenu, au vu des faibles rendements de l’assurée, qui ne s’expliquent pas du point de vue médical, que celle-ci ne pouvait travailler ni à plus de 50% ni en-dehors d’un atelier protégé. Dans ces circonstances, l’OAI était également fondé à rejeter la demande, pour autant que l’assurée ait entendu solliciter des mesures professionnelles de reclassement dans une autre profession. Cela étant dit, la décision de 2008 réservait la possibilité pour l'assurée de solliciter une aide au placement, par une demande écrite et motivée, ce qui rejoindrait les conseils de mobilisation active du Dr I______, chez une assurée d'à peine 50 ans.</w:t>
      </w:r>
    </w:p>
    <w:p>
      <w:r>
        <w:rPr>
          <w:b/>
        </w:rPr>
        <w:t>E. 10</w:t>
      </w:r>
    </w:p>
    <w:p>
      <w:r>
        <w:t>Le recours est rejeté et la recourante, qui succombe, est condamnée au paiement d’un émolument de CHF 200.-.</w:t>
      </w:r>
    </w:p>
    <w:p>
      <w:r>
        <w:t>A/3731/2013 - 12/12 -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