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ATAS/603/2012 vom 8. Mai 2012</w:t>
      </w:r>
    </w:p>
    <w:p>
      <w:r>
        <w:t>GE Cour de justice, 2012-05-08, FR</w:t>
      </w:r>
    </w:p>
    <w:p>
      <w:r>
        <w:rPr>
          <w:b/>
        </w:rPr>
        <w:t xml:space="preserve">Quelle: </w:t>
      </w:r>
      <w:r>
        <w:t>https://mcp.opencaselaw.ch/entscheid/ge_gerichte_ATAS_603_2012</w:t>
      </w:r>
    </w:p>
    <w:p>
      <w:r>
        <w:t>FR: GE_GERICHTE ATAS/603/2012 du 8 mai 2012</w:t>
      </w:r>
    </w:p>
    <w:p>
      <w:r>
        <w:t>IT: GE_GERICHTE ATAS/603/2012 del 8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et du 6 octobre 2006 (5ème révision), entrées en vigueur le 1er janvier 2004, respectivement, le 1er janvier 2008,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A/3424/2011 - 9/20 -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réduction de la rente d'invalidité de l'assuré dès le 1er décembre 2011.</w:t>
      </w:r>
    </w:p>
    <w:p>
      <w:r>
        <w:rPr>
          <w:b/>
        </w:rPr>
        <w:t>E. 6</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w:t>
      </w:r>
    </w:p>
    <w:p>
      <w:r>
        <w:t>A/3424/2011 - 10/20 -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c)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A/3424/2011 - 11/20 -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w:t>
      </w:r>
    </w:p>
    <w:p>
      <w:r>
        <w:t>A/3424/2011 - 12/20 -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w:t>
      </w:r>
    </w:p>
    <w:p>
      <w:r>
        <w:t>a) La comparaison des revenus s'effectue, en règle ordinaire, en chiffrant aussi exactement que possible les montants de ces deux revenus et en les confrontant l'un</w:t>
      </w:r>
    </w:p>
    <w:p>
      <w:r>
        <w:t>A/3424/2011 - 13/20 -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w:t>
      </w:r>
    </w:p>
    <w:p>
      <w:r>
        <w:t>A/3424/2011 - 14/20 -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A/3424/2011 - 15/20 -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t>A/3424/2011 - 16/20 -</w:t>
      </w:r>
    </w:p>
    <w:p>
      <w:r>
        <w:rPr>
          <w:b/>
        </w:rPr>
        <w:t>E. 9</w:t>
      </w:r>
    </w:p>
    <w:p>
      <w:r>
        <w:t>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b) Mais ce principe n’est pas absolu. Sa portée est restreinte par le devoir des parties de collaborer à l’instruction de l’affaire (art. 61 let. c LPGA).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w:t>
      </w:r>
    </w:p>
    <w:p>
      <w:r>
        <w:t>A/3424/2011 - 17/20 -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suite à la révision entreprise par l'OAI en 2006, il s'agit de comparer la situation de mars 2003 à celle de septembre 2011. En premier lieu, l'expertise du CEMED du 17 janvier 2007 est probante. Elle est fondée sur un examen du patient, elle tient compte de ses plaintes, discute les divers avis médicaux et ses conclusions sont convaincantes. Mis à part le fait qu'elle date de 2007, le recourant n'indique pas en quoi elle serait critiquable. Contrairement à la lecture orientée qu'il en fait, les experts ne suggèrent pas de procéder à un examen médical complémentaire, mais relèvent que certaines plaintes (dans les 4 membres) ne sont pas objectivées, sous réserve qu'un examen ultérieur montre des troubles locomoteurs indépendants du trouble neurologique. Les douleurs dorso- lombaires sont mentionnées en 2006 par le médecin traitant, le Dr C__________, sans qu'aucun diagnostic les objectivant ne soit posé et sans qu'aucun examen radiologique ne soit effectué. Ainsi, en l'absence de tout rapport médical de l'un ou l'autre des médecins traitant de l'assuré qui diagnostiquerait un trouble distinct du trouble neurologique et impliquant des douleurs lombaires, l'OAI était fondé à ne pas instruire plus avant l'aspect médical, parfaitement élucidé par le CEMED. Il est certes fort regrettable que l'OAI n'ai pas instruit le dossier de l'assuré à deux reprises durant deux ans, mais cela n'implique pas pour autant que la Cour doive ordonner une expertise multi-disciplinaire (orthopédique-neurologique et psychiatrique) pour établir l'état de santé de l'assuré, en l'absence d'un quelconque avis médical, que ce soit du médecin traitant, d'un médecin de la prison, d'un</w:t>
      </w:r>
    </w:p>
    <w:p>
      <w:r>
        <w:t>A/3424/2011 - 18/20 - généraliste de la Clinique Belmont qui attesterait d'une affection qui n'aurait pas été prise en compte par le CEMED ou d'une aggravation qui serait intervenue entre temps. L'écoulement du temps n'implique pas une aggravation de toutes les pathologies et le fait que les experts du CEMED aient réservé une évolution de l'état de santé ne suffit pas pour retenir une aggravation. Du point de vue somatique donc, la Cour retient que l'état de santé et la capacité de travail de l'assuré n'ont pas notablement évolué depuis l'avis du CEMED de 2007. S'agissant de l'état psychique de l'assuré, l'expertise du CEMED est convaincante et retient que l'assuré ne souffre plus de la dépression qui était invalidante en 2003. L'expertise pénale ne retient aucun autre trouble psychique que la dépendance à l'alcool et précise que, sauf en 2002 lors d'un deuil, les aggravations de la dépression ultérieure ont à chaque fois été consécutives à une importante consommation d'alcool. De plus, l'assuré a connu des périodes d'abstinence, lors desquelles il s'est d'ailleurs abstenu de tout acte délictuel. L'abstinence sans hospitalisation durant 6 mois est confirmée par la clinique Belmont. Ces deux éléments permettent de retenir au degré de la vraisemblance prépondérante que la dépression qui a motivé pour partie l'octroi d'une rente entière en 2003 s'est amendée, que les états dépressifs de 2009 et 2010 sont liés à l'alcoolisme et que la dépendance à l'alcool n'est pas une pathologie secondaire, à la pathologie neurologique par exemple, puisque l'assuré est en mesure de s'abstenir de consommer de l'alcool malgré la chronicité et la gravité de son trouble neurologique. A cet égard, et à défaut de tout avis médical divergent, il n'est pas nécessaire d'ordonner un complément d'expertise psychiatrique, les derniers experts ayant exclu un autre trouble psychique et l'assuré n'étant au demeurant plus suivi par un psychiatre depuis de nombreuses années. Ainsi, en se fondant sur l'avis du CEMED complété par celui des experts pénaux, l'état de santé psychique, outre la dépendance à l'alcool qui n'est pas invalidante, s'est notablement amélioré depuis 2002-2003, et n'a plus d'influence sur la capacité de travail de l'assuré. L'OAI était ainsi fondé à admettre, en 2007, que les conditions de principe d'une révision étaient réalisées, suite à l'amélioration de l'état de santé depuis 2003. En second lieu toutefois, l'examen de la capacité de travail résiduelle de l'assuré et la comparaison des revenus doit être effectuée en 2011, soit à la date de la décision de révision, et non pas en 2006 lors du début de la procédure de révision, quels que soient les motifs de la durée de celle-ci. Ainsi, lors de la décision de septembre 2011, l'assuré est âgé de 60 ans et demi. Il a seulement suivi l'école élémentaire en Espagne et n'a aucune autre formation. Il a travaillé durant 30 ans en qualité de sommelier - serveur dans l'hôtellerie et la restauration, de 17-18 ans à 47 ans, il n'a jamais exercé aucun autre métier et il est inactif depuis 13 ans. Ainsi, seul un emploi n'exigeant aucune connaissance théorique est envisageable. Même dans le cadre d'un emploi ne nécessitant pas de formation, la capacité d'adaptation de l'assuré à un emploi inconnu est, compte tenu de sa longue et unique expérience de serveur, extrêmement faible. Ses limitations fonctionnelles sont nombreuses selon</w:t>
      </w:r>
    </w:p>
    <w:p>
      <w:r>
        <w:t>A/3424/2011 - 19/20 - l'expertise du CEMED complétée par l'avis du SMR. Il s'agit d'abord de limitations compatibles avec un travail léger à l'établi : aucun travail physique lourd, fréquents changements de position, pas de port de charge de plus de 15kg, pas de travail à genou et/ou en position accroupie, pas de position du tronc tenue en porte-à-faux, pas de flexion-rotation du tronc et pas de travail avec un contact avec la clientèle. Toutefois et de plus, l'assuré boite en raison de l'atrophie du membre inférieur droit, il doit pouvoir procéder à des auto-sondages réguliers de sa vessie durant son travail et il doit porter des protections en raison d'incontinence de selles. Ces limitations sont particulièrement gênantes, tant objectivement dans le cadre de tout emploi manuel sédentaire (nécessité de s'asseoir malgré l'incontinence de selles, interruptions de la cadence pour les sondages, etc.) que subjectivement (gêne vis-à- vis des collègues d'atelier, qui pourraient de plus être incommodés par les odeurs) et elles impliquent de l'avis de tous les médecins, y compris des experts du CEMED, une grande appréhension de l'assuré face à tout employeur. Ces éléments qui découlent de son invalidité limitent certainement encore plus sa capacité à être engagé. A cela s'ajoute qu'il n'a qu'une capacité de travail de 50%, peu usuelle pour un homme dans un domaine non qualifié et par définition manuel. L'ensemble de ces circonstances amène la Cour a retenir au degré de la vraisemblance prépondérante qu'aucun employeur potentiel ne consentirait objectivement à engager l'assuré, fin 2011, de sorte qu'il n'est pas réaliste de penser que cet assuré serait en mesure de retrouver un emploi sur un marché équilibré du travail, et ce, même en l'absence d'une dépendance à l'alcool et d'une incarcération suite à des incendies volontaires. Ainsi et malgré l'amélioration de l'état de santé psychique de l'assuré, son degré d'invalidité n'a pas notablement changé et il reste supérieur à 70%, comme l'avait retenu l'OAI lors de la décision de 2003, de sorte que la décision de réduction de la rente à une demi rente dès le 1er décembre 2011 est mal fondée pour ce motif. En dernier lieu, il sera relevé que l'assuré a été condamné en février 2012 à une peine privative de liberté de 24 mois, sous déduction des 264 jours déjà effectués, de sorte que, d'une part, le versement de la rente a vraisemblablement été suspendu et que, d'autre part, c'est en avril 2013 seulement que l'assuré aurait été confronté à une reprise du travail, soit à l’âge de 62 ans, ce qui conforte le caractère irréaliste de son employabilité.</w:t>
      </w:r>
    </w:p>
    <w:p>
      <w:r>
        <w:rPr>
          <w:b/>
        </w:rPr>
        <w:t>E. 11</w:t>
      </w:r>
    </w:p>
    <w:p>
      <w:r>
        <w:t>Au vu de ce qui précède, le recours sera admis et la décision du 26 septembre 2011 sera annulée. Le recourant obtenant gain de cause, une indemnité de 2'500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A/3424/2011 - 20/20 -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