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ATAS/603/2010 vom 27. Mai 2010</w:t>
      </w:r>
    </w:p>
    <w:p>
      <w:r>
        <w:t>GE Cour de justice, 2010-05-27, FR</w:t>
      </w:r>
    </w:p>
    <w:p>
      <w:r>
        <w:rPr>
          <w:b/>
        </w:rPr>
        <w:t xml:space="preserve">Quelle: </w:t>
      </w:r>
      <w:r>
        <w:t>https://mcp.opencaselaw.ch/entscheid/ge_gerichte_ATAS_603_2010</w:t>
      </w:r>
    </w:p>
    <w:p>
      <w:r>
        <w:t>FR: GE_GERICHTE ATAS/603/2010 du 27 mai 2010</w:t>
      </w:r>
    </w:p>
    <w:p>
      <w:r>
        <w:t>IT: GE_GERICHTE ATAS/603/2010 del 27 maggio 2010</w:t>
      </w:r>
    </w:p>
    <w:p>
      <w:pPr>
        <w:pStyle w:val="Heading2"/>
      </w:pPr>
      <w:r>
        <w:t>Erwägungen</w:t>
      </w:r>
    </w:p>
    <w:p>
      <w:r>
        <w:rPr>
          <w:b/>
        </w:rPr>
        <w:t>E. 13</w:t>
      </w:r>
    </w:p>
    <w:p>
      <w:r>
        <w:t>Invité à se déterminer, l’intimé, dans sa réponse du 19 février 2009, a conclu au rejet du recours et à la confirmation de la décision attaquée. L'intimé a en outre produit un nouvel avis du SMR du 16 février 2009 rappelant que la notion de gas- tro-entérologie couvre également les affections hépatiques et soulignant que la vi- rémie seule ne permet pas d'attester une aggravation de l'état du foie. Pour le sur- plus, l'intimé allègue que le dossier contient suffisamment d'indications médicales fiables et qu'il n’y a dès lors aucun motif de mettre en œuvre une instruction com- plémentaire.</w:t>
      </w:r>
    </w:p>
    <w:p>
      <w:r>
        <w:rPr>
          <w:b/>
        </w:rPr>
        <w:t>E. 14</w:t>
      </w:r>
    </w:p>
    <w:p>
      <w:r>
        <w:t>Par écriture du 20 mars 2009, a notamment observé que l’avis du SMR corroborait la nécessité de mettre en œuvre une expertise puisqu’une virémie seule ne suffisait pas à démontrer une aggravation de l'état du foie.</w:t>
      </w:r>
    </w:p>
    <w:p>
      <w:r>
        <w:rPr>
          <w:b/>
        </w:rPr>
        <w:t>E. 15</w:t>
      </w:r>
    </w:p>
    <w:p>
      <w:r>
        <w:t>Par plis des 12 et 25 août 2009, le recourant a encore produit les deux documents suivants : - une décision rendue le 19 juin 2009 par la Caisse de prévoyance du personnel en- seignant de l’instruction publique et des fonctionnaires de l’administration du can- ton de Genève (CIA) reconnaissant au recourant un degré d’invalidité de 50% du 1er avril au 31 décembre 2007 et à compter du 1er septembre 2008 et le mettant au bénéfice des rentes mensuelles partielles correspondantes ;</w:t>
      </w:r>
    </w:p>
    <w:p>
      <w:r>
        <w:t>A/223/2009 - 6/12 - - un arrêté du Conseil d’État daté du 22 juillet 2009 reconnaissant au recourant le droit à une demi-rente d’invalidité dès le 1er septembre 2009.</w:t>
      </w:r>
    </w:p>
    <w:p>
      <w:r>
        <w:rPr>
          <w:b/>
        </w:rPr>
        <w:t>E. 16</w:t>
      </w:r>
    </w:p>
    <w:p>
      <w:r>
        <w:t>Invité à se déterminer, l’intimé a fait remarquer que, dans la mesure où ces docu- ments ne contenaient aucune appréciation sous l’angle médical, ils ne permettaient pas de conduire à une appréciation différente du cas.</w:t>
      </w:r>
    </w:p>
    <w:p>
      <w:r>
        <w:rPr>
          <w:b/>
        </w:rPr>
        <w:t>E. 17</w:t>
      </w:r>
    </w:p>
    <w:p>
      <w:r>
        <w:t>Sur ce, la cause a été gardée à juger. EN DROIT 1. Conformément à l’art. 56V al. 1er let. a ch. 2 de la loi genevoise du 22 novembre 1941 sur l’organisation judiciaire (RSG E 2 05), le Tribunal cantonal des assuran- ces sociales connaît en instance unique des contestations prévues à l’art. 56 de la loi fédérale du 6 octobre 2000 sur la partie générale du droit des assurances sociales (LPGA; RS 830.1) relatives à la loi fédérale du 19 juin 1959 sur l’assurance- invalidité (LAI; RS 831.20). Sa compétence pour juger du cas d’espèce est ainsi établie. 2. La LPGA, entrée en vigueur le 1er janvier 2003, est applicable à la présente procé- dure.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ATF 126 V 136 consid. 4b et les références citées). S'agissant des modifications de la LAI du 6 octobre 2006 (5ème révision de l'AI), en- trées en vigueur le 1er janvier 2008, elles sont à prendre en considération pour dé- terminer les prestations dès cette date, eu égard au principe rappelé ci-dessus. Cela étant, cette novelle n'a pas amené de modifications substantielles en matière d'éva- luation de l'invalidité (Message concernant la modification de la loi fédérale sur l'assurance-invalidité du 22 juin 2005, FF 2005 4215, p. 4322). 3. Interjeté dans la forme prévue par la loi (art. 56 ss LPGA), le recours a été déposé au bureau de poste le 23 janvier 2009, soit dans le délai de 30 jours prévu à l'art. 60 LPGA, compte tenu de la suspension des délais du 18 décembre au 2 jan- vier en vertu de l'art. 38 al. 4 LPGA. Le recours est donc recevable. 4. Le litige porte sur le droit du recourant au versement d’une demi-rente d’invalidité au-delà du 31 décembre 2007. Il y a lieu de rappeler que de jurisprudence constante, le juge des assurances socia- les apprécie la légalité des décisions entreprises d'après l'état de fait existant au</w:t>
      </w:r>
    </w:p>
    <w:p>
      <w:r>
        <w:t>A/223/2009 - 7/12 - moment où la décision litigieuse a été rendue (ATF 121 V 362, consid. 1b, ATF 116 V 246, consid. 1a). Les faits survenus postérieurement et qui modifient la situa- tion doivent en principe faire l'objet d'une nouvelle décision administrative (ATF 117 V 287, consid. 4). 5. En vertu de l'art. 28 al. 1er LAI, dans sa teneur dès le 1er janvier 2008, l'assuré a droit à une rente d'invalidité aux conditions suivantes: sa capacité de gain ou sa ca- pacité d'accomplir ses travaux habituels ne peut être rétablie, maintenue ou amélio- rée par des mesures de réadaptation raisonnablement exigibles (let. a); il a présenté une incapacité de travail d'au moins 40 % en moyenne durant une année sans inter- ruption notable (let. b); au terme de cette année, il est invalide à 40 % au moins (let. c). L'art. 28 al. 2 LAI prévoit que l'assuré a droit à une rente entière s'il est invalide à 70 % au moins, à trois quarts de rente s'il est invalide à 60 % au moins, à une demi- rente s'il est invalide à 50 % au moins ou à un quart de rente s'il est invalide à 40 % au moins. Est réputée invalidité, l’incapacité de gain totale ou partielle présumée permanente ou de longue durée, résultant d’une infirmité congénitale, d’une maladie ou d’un accident (art. 8 al. 1er LPGA et 4 al. 1er LAI). L'incapacité de gain est définie comme toute diminution de l’ensemble ou d’une partie des possibilités de gain de l’assuré sur un marché du travail équilibré dans son domaine d’activité, si cette di- minution résulte d’une atteinte à sa santé physique, mentale ou psychique et qu’elle persiste après les traitements et les mesures de réadaptation exigibles. L'atteinte à la santé n'est donc pas à elle seule déterminante et ne sera prise en considération que dans la mesure où elle entraîne une incapacité de travail ayant des effets sur la ca- pacité de gain de l'assuré (ATF du 9 avril 2001, I 654/00, consid. 1; Meyer-Blaser, Bundesgesetz über die Invalidenversicherung, Zurich 1997, p. 8). 6. a) Pour pouvoir calculer le degré d'invalidité, l'administration ou l'instance de re- cours a besoin de documents que le médecin ou d'autres spécialistes doivent lui fournir. La tâche du médecin consiste à porter un jugement sur l'état de santé et à indiquer dans quelle mesure et pour quelles activités l'assuré est incapable de tra- vailler. En outre, les données médicales constituent un élément utile pour détermi- ner quels travaux on peut encore, raisonnablement, exiger de l'assuré (ATF 125 V 256 consid. 4; ATF 115 V 133 consid. 2). b) Selon le principe de libre appréciation des preuves, pleinement valable en procé- dure judiciaire de recours dans le domaine des assurances sociales (cf. art. 61 let. c LPGA), le juge n’est pas lié par des règles formelles, mais doit examiner de ma- nière objective tous les moyens de preuve, quelle qu’en soit la provenance, puis dé- cider si les documents à disposition permettent de porter un jugement valable sur le droit litigieux. En cas de rapports médicaux contradictoires, le juge ne peut trancher</w:t>
      </w:r>
    </w:p>
    <w:p>
      <w:r>
        <w:t>A/223/2009 - 8/12 - l’affaire sans apprécier l’ensemble des preuves et sans indiquer les raisons pour les- quelles il se fonde sur une opinion médicale et non pas sur une autre. L’élément dé- terminant pour la valeur probante d’un rapport médical n’est ni son origine, ni sa désignation, mais son contenu. À cet égard, il convient que les points litigieux im- portants aient fait l’objet d’une étude fouillée, que le rapport se fonde sur des exa- 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 nal fédéral a posé des lignes directrices en ce qui concerne la manière d'apprécier certains types d'expertises ou de rapports médicaux. Ainsi, lorsqu'au stade de la procédure administrative, une expertise confiée à un médecin indépendant est éta- blie par un spécialiste reconnu, sur la base d'observations approfondies et d'investi- 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 ces). Au surplus, on ne saurait remettre en cause une expertise ordonnée par l'admi- 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du 29 septembre 2008, 9C_405/2008, consid. 3.2). e) La garantie constitutionnelle du droit d'être entendu confère notamment à un jus- ticiable le droit de faire administrer des preuves essentielles (ATF 127 V 431, consid. 3a). Ce droit n'empêche cependant pas l'autorité de mettre un terme à l'ins- 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voir également Ueli KIESER, ATSG- Kommentar: Kommentar zum Bundesgesetz über den Allgemeinen Teil des Sozial- versicherungsrechts vom 6. Oktober 2000, 2ème éd., Zurich 2009, n. 72 ad art. 61).</w:t>
      </w:r>
    </w:p>
    <w:p>
      <w:r>
        <w:t>A/223/2009 - 9/12 - 7. a) De jurisprudence constante, la dépendance, qu'elle prenne la forme de l'alcoo- lisme, de la pharmacodépendance ou de toxicomanie, ne constitue pas en soi une invalidité au sens de la loi. Elle joue en revanche un rôle dans l'assurance-invalidité lorsqu'elle a provoqué une maladie ou un accident qui entraîne une atteinte à la san- té physique, mentale ou psychique nuisant à la capacité de gain, ou si elle résulte elle-même d'une atteinte à la santé physique, mentale ou psychique qui a valeur de maladie (ATF 124 V 265, consid. 3c). b) Les atteintes à la santé psychique peuvent, comme les atteintes physiques, en- traîner une invalidité au sens de l’art. 4 al. 1er LAI. On ne considère cependant pas comme des conséquences d’un état psychique maladif, donc pas comme des affec- tions à prendre en charge par l’assurance-invalidité, les diminutions de la capacité de gain que l’assuré pourrait empêcher en faisant preuve de bonne volonté. Il n’y a en effet incapacité de gain que si l’atteinte à la santé n’est pas objectivement sur- montable (art. 7 al. 2, 2e phrase LPGA) ; la mesure de ce qui est exigible doit donc être déterminée aussi objectivement que possible (ATF 102 V 165 ; voir aussi ATF 127 V 294 consid. 4c in fine). Enfin, un état de fatigue n'entraîne en principe pas à lui seul une invalidité ouvrant le droit à une rente (ATF du 14 avril 2008 I 70/07, consid. 5). 8. Le recourant fait grief à l'intimé d'avoir évalué de manière arbitraire son degré d'in- validité en se fondant sur l'expertise du Dr C___________ pour conclure qu’il avait recouvré une entière capacité de travail et ce, alors que l’expert avait admis l'échec du traitement de l'hépatite C. S'agissant des répercussions de l'hépatite C du recourant sur sa capacité de travail, le Tribunal de céans relève ce qui suit. L'incapacité de travail du recourant était due d'une part aux opérations subies, d'au- tre part au traitement par Interféron. C'est ainsi que le Dr A___________ a indiqué dans son rapport de 2007 que le recourant pourrait reprendre son travail à 80 ou 100% dès 2008, après sa convalescence suite des opérations subies et pour autant que l’hépatite ne s'aggrave pas. Quant au Dr B___________, il considérait en jan- vier 2008 que, nonobstant l'échec du traitement contre l'hépatite C, l'état de santé du recourant était stationnaire, et que celui-ci ne subissait plus de diminution de sa ca- pacité de travail du fait de la pathologie gastro-entérologique. Il ressort donc des rapports des médecins traitants du recourant que ce n'est pas l'hépatite C en tant que telle qui était à l'origine de l'incapacité de travail, mais le traitement de cette mala- die ainsi que les diverses interventions chirurgicales pratiquées. De plus, contrairement à ce que le recourant semble croire, le Dr C___________ ne nie pas l'existence d'une hépatite C, mais seulement les répercussions de celle-ci sur sa capacité de travail. L'expert souligne ainsi que, malgré l'échec du traitement, l'in- flammation du foie a quelque peu diminué depuis 2003, que l'activité de l'hépatite</w:t>
      </w:r>
    </w:p>
    <w:p>
      <w:r>
        <w:t>A/223/2009 - 10/12 - chronique est discrète et que les fonctions hépatiques de synthèse sont conservées. En d'autres termes, l'expertise ne met pas en évidence d’aggravation de la patholo- gie hépatique. Force est ainsi de constater que les conclusions de l’expert, en tant qu’elles excluent toute incapacité de travail du fait de la seule hépatite C, concor- dent avec les avis des médecins traitants. Quant à l’argument selon lequel le Dr C___________ aurait interprété de manière erronée l’avis Dr B___________ - qui considérait que la capacité de travail du recourant était entière du point de vue gastro-entérologique -, il tombe à faut étant rappelé que la gastro-entérologie en- globe la fonction hépatique, comme l’a souligné l’intimé. 9. Le recourant contestant la valeur probante de l'expertise du Dr C___________, no- tamment au motif que celle-ci ne tiendrait pas compte du fait qu’il souffre toujours d'hépatite C, il y a lieu de se déterminer sur ce point. Le Tribunal constate en premier lieu que l'expertise prend en compte l'ensemble des rapports figurant dans le dossier produit par le recourant, établit une anamnèse, tient compte des diagnostics objectifs et des plaintes de l’assuré et repose sur un examen clinique de ce dernier. Le Dr C___________ a de plus pris soin de justifier son évaluation de la capacité de travail du recourant, en indiquant de manière convaincante les motifs qui l’ont conduit à exclure une diminution de celle-ci. Il a en particulier clairement exposé pourquoi l'hépatite C n'entraînait pas d'incapacité de travail, de sorte que le repro- che du recourant sur ce point est infondé. S'agissant de la fixation du début de l'incapacité de travail, il est vrai que l'expert n'a pas tenu compte des interventions subies par le recourant entre avril et octobre 2006. Dans la mesure où l'intimé a corrigé cette erreur à la suite du rapport du SMR et calculé le délai d'attente d'une année à partir d'avril 2006, cette inexactitude est cependant sans conséquence dans le présent litige. Pour le surplus, ainsi que cela a déjà été relevé plus haut, l’évaluation de la capacité de travail du recourant par l’expert est corroborée, à tout le moins partiellement, par les avis des Drs B___________ et A___________-DU-PAN. Certes, le Dr A___________-DU-PAN a indiqué dans son rapport du 11 janvier 2008 que la re- prise de travail à 75% ne pourrait se faire avant six à douze mois, en fonction de l'évolution de l'hépatite. Il n'a cependant pas fait valoir d'aggravation de cette der- nière et a décrit l’état de son patient comme stationnaire, de sorte qu'on s'interroge sur la nécessité de cette prolongation de l'incapacité de travail en l'absence de tout nouveau diagnostic la justifiant, alors que le même médecin semblait précisément exclure une telle prolongation de l'incapacité de travail dans son rapport initial du 31 juillet 2007. Eu égard aux contradictions dans les rapports du Dr A___________-DU-PAN, à l'absence d'éléments médicaux mis en évidence par ce praticien et ignorés par l'ex-</w:t>
      </w:r>
    </w:p>
    <w:p>
      <w:r>
        <w:t>A/223/2009 - 11/12 - pert, et à la retenue qui s'impose dans l'appréciation d'avis émanant de médecins traitants, la nouvelle incapacité de travail attestée par le médecin du recourant ne permet pas de remettre en cause les conclusions de l'expertise du Dr C___________. Compte tenu de ce qui précède, il sied de reconnaître pleine valeur probante à l'ex- pertise du Dr C___________. Ses conclusions résultent en effet d'une analyse com- plète de la situation médicale objective et des plaintes du recourant, et décrivent clairement ses limitations fonctionnelles. Celle-ci remplit dès lors pleinement les réquisits jurisprudentiels. Partant, la mise en œuvre d'une expertise supplémentaire s'avère superflue par ap- préciation anticipée des preuves. En conséquence, il n'y a pas lieu de donner suite à la demande d'instruction complémentaire. 10. Reste à examiner l’argument selon lequel la capacité de travail de l’assuré - et par voie de conséquence son degré d’invalidité - serait influencé par une importante as- thénie, attestée par certificat du Dr A___________ du 25 septembre 2008. Le Tribunal de céans relève que le Dr C___________ s'est penché sur le problème d'intense fatigue allégué par le recourant. L'expert a admis qu’il s’agissait-là d'une plainte difficile à apprécier, mais il a également relevé qu’en l’occurrence, aucun élément organique ne permettait d'expliquer une fatigue aussi intense et que le rôle joué par l'hépatite C n'était pas significatif, compte tenu de la fonction hépatique de synthèse conservée. Conformément à la jurisprudence citée, en l'absence de toute cause organique, il n'y a pas lieu de reconnaître au recourant une quelconque invalidité en raison de la fati- gue qu'il allègue. Cette conclusion s'impose avec d'autant plus de force en l'espèce que l'expert a émis l'avis qu'une réduction, voire un arrêt complet de la consomma- tion d'alcool pourrait avoir des incidences positives sur l'état du recourant. Il sied de souligner que ce dernier n'est atteint d'aucune affection d'ordre psychiatrique qui pourrait être à l'origine de sa consommation excessive d'alcool. Sa possible dépen- dance à cette substance ne relève dès lors pas d'une invalidité au sens de la loi et l'arrêt de la consommation apparaît dans ces conditions raisonnablement exigible de sa part et doit primer l’octroi éventuel d’une rente. 11. Eu égard aux considérations qui précèdent, le recours apparaît en tous points mal fondé et sera donc rejeté. Bien que depuis le 1er juillet 2006, la procédure ne soit plus gratuite conformément à l'art. 69 al. 1bis LAI et que le recourant succombe, il y a lieu de renoncer à la per- ception d'un émolument dès lors que l’intéressé est au bénéfice de l'assistance juri- dique (cf. art. 12 al. 1 du règlement sur les frais, émoluments et indemnités en pro- cédure administrative du 30 juillet 1986 ; RSG E 510.03).</w:t>
      </w:r>
    </w:p>
    <w:p>
      <w:r>
        <w:t>A/223/2009 - 12/12 -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