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ATAS/603/2008 vom 21. Mai 2008</w:t>
      </w:r>
    </w:p>
    <w:p>
      <w:r>
        <w:t>GE Cour de justice, 2008-05-21, FR</w:t>
      </w:r>
    </w:p>
    <w:p>
      <w:r>
        <w:rPr>
          <w:b/>
        </w:rPr>
        <w:t xml:space="preserve">Quelle: </w:t>
      </w:r>
      <w:r>
        <w:t>https://mcp.opencaselaw.ch/entscheid/ge_gerichte_ATAS_603_2008</w:t>
      </w:r>
    </w:p>
    <w:p>
      <w:r>
        <w:t>FR: GE_GERICHTE ATAS/603/2008 du 21 mai 2008</w:t>
      </w:r>
    </w:p>
    <w:p>
      <w:r>
        <w:t>IT: GE_GERICHTE ATAS/603/2008 del 21 maggio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Interjeté en temps utile, le recours est recevable (art. 56 ss LPGA)</w:t>
      </w:r>
    </w:p>
    <w:p>
      <w:r>
        <w:rPr>
          <w:b/>
        </w:rPr>
        <w:t>E. 3</w:t>
      </w:r>
    </w:p>
    <w:p>
      <w:r>
        <w:t>Le litige porte sur les décisions de cotisations personnelles du recourant pour les années 2003, 2004 et 2005.</w:t>
      </w:r>
    </w:p>
    <w:p>
      <w:r>
        <w:rPr>
          <w:b/>
        </w:rPr>
        <w:t>E. 4</w:t>
      </w:r>
    </w:p>
    <w:p>
      <w:r>
        <w:t>a) Selon l'art.1a al.1 let. a LAVS, les personnes physiques domiciliées en Suisse sont assurées conformément à la loi. Les personnes sans activité lucrative sont tenues de payer des cotisations à compter du 1er janvier de l'année qui suit la date à laquelle elles ont eu 20 ans, cette obligation cesse à la fin du mois où les hommes atteignent l'âge de 65 ans (art. 3 al. 1 LAVS) Les conjoints sans activité lucrative d'assurés exerçant une activité lucrative sont réputés avoir payé eux-mêmes des cotisations, pour autant que leur conjoint ait versé des cotisations équivalentes au moins au double de la cotisation minimale (art. 3 al.3, let. a LAVS). Les assurés n'exerçant aucune activité lucrative paient une cotisation selon leur condition sociale (art. 10 al. 1 LAVS). Le Conseil fédéral édicte des prescriptions plus détaillées sur le calcul des cotisations (art. 10 al. 3 LAVS). Selon l'art. 28 RAVS, les cotisations des personnes sans activité lucrative, pour lesquelles la cotisation minimum (art. 10 al. 2 LAVS) n’est pas prévue, sont déterminées sur la base de leur fortune et du revenu qu’elles tirent des rentes. Les prestations propres à cette assurance ne font pas partie du revenu sous forme de rente (al. 1 première phrase).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w:t>
      </w:r>
    </w:p>
    <w:p>
      <w:r>
        <w:t>A/2853/2007 - 6/8 - Si une personne mariée doit payer des cotisations comme personne sans activité lucrative, ses cotisations sont déterminée - indépendamment du régime patrimonial des époux - sur la base de la moitié de la fortune et du revenu sous forme de rente du couple (al. 4; VSI 1999 P.118). Cette règle est également valable, lorsqu'un seul conjoint est assuré à l'AVS et est soumis à l'obligation de cotiser (Directives sur les cotisations des travailleurs indépendants et des personnes sans activité lucrative - DIN - ch. 2078). Dans un arrêt publié aux ATF 127 V 67 (consid. 3a et les références), le Tribunal fédéral des assurances a confirmé la conformité à la constitution et à la loi de l'art. 28 al. 4 RAVS, à teneur duquel les cotisations des personnes mariées qui n'exercent aucune activité lucrative, sont déterminées sur la base de la moitié de la fortune et du revenu sous forme de rente du couple. Enfin, l'art. 1bis RAI et l'art. 36 du règlement sur les allocations pour perte de gain prévoient un barème pour la perception des cotisations ainsi que l'application analogique des art. 28 à 30 RAVS. b) Selon l'art. 72 al. 1 LAVS, pour exercer ses fonctions de surveillance au sens de l’art. 76 LPGA, le Conseil fédéral peut charger l’office compétent de donner aux organes d’exécution de l’assurance des instructions garantissant une pratique uniforme. Il peut en outre autoriser l’office à établir des tables de calcul des cotisations et des prestations dont l’usage est obligatoire. L'OFAS a ainsi édicté des tables de cotisations "Indépendant et personnes sans activité lucrative dont l'usage est obligatoire (arrêt du Tribunal fédéral des assurances du 28 septembre 2001 H 99/2001).</w:t>
      </w:r>
    </w:p>
    <w:p>
      <w:r>
        <w:rPr>
          <w:b/>
        </w:rPr>
        <w:t>E. 5</w:t>
      </w:r>
    </w:p>
    <w:p>
      <w:r>
        <w:t>En l'espèce, l'intimé a déterminé pour 2003 les cotisations du recourant sur la base des rentes et de la fortune du couple. Il ne les a cependant pas divisés par deux, alors même que seul un des époux est tenu de payer des cotisations sociales. Pour 2004 et 2005, les cotisations ont été calculées uniquement en fonction des rentes du couple, sans tenir compte de sa fortune. Cet élément n'est par ailleurs pas connu pour ces années. L’autorité administrative doit constater d’office les faits déterminants, c’est-à-dire toutes les circonstances dont dépend l’application des règles de droit (ATF 117 V 261 consid. 3 p. 263 ; T. LOCHER Grundriss des Sozialversicherungsrecht, Bern 1994, t.1, p. 438) . Ainsi l’administration est tenue d’ordonner une instruction complémentaire lorsque les allégations des parties et les éléments ressortant du dossier requièrent une telle mesure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w:t>
      </w:r>
    </w:p>
    <w:p>
      <w:r>
        <w:t>A/2853/2007 - 7/8 - En l'occurrence, il appert que les décisions de l'intimée sont manifestement erronées, comme cette dernière l'admet elle-même. Partant, il sied de les annuler. Cependant, l'instruction est incomplète. Aussi, la cause sera-t-elle renvoyée à l'intimée pour instruction complémentaire et, ceci fait, nouvelle décision. Le recours sera par conséquent partiellement admis.</w:t>
      </w:r>
    </w:p>
    <w:p>
      <w:r>
        <w:t>A/2853/2007 - 8/8 -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