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ATAS/602/2025 vom 11. August 2025</w:t>
      </w:r>
    </w:p>
    <w:p>
      <w:r>
        <w:t>GE Cour de justice, 2025-08-11, FR</w:t>
      </w:r>
    </w:p>
    <w:p>
      <w:r>
        <w:rPr>
          <w:b/>
        </w:rPr>
        <w:t xml:space="preserve">Quelle: </w:t>
      </w:r>
      <w:r>
        <w:t>https://mcp.opencaselaw.ch/entscheid/ge_gerichte_ATAS_602_2025</w:t>
      </w:r>
    </w:p>
    <w:p>
      <w:r>
        <w:t>FR: GE_GERICHTE ATAS/602/2025 du 11 août 2025</w:t>
      </w:r>
    </w:p>
    <w:p>
      <w:r>
        <w:t>IT: GE_GERICHTE ATAS/602/2025 del 11 agosto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w:t>
      </w:r>
    </w:p>
    <w:p>
      <w:r>
        <w:t>A/2881/2024 - 13/22 - à l’art. 56 de la loi fédérale sur la partie générale du droit des assurances sociales, du 6 octobre 2000 (LPGA - RS 830.1) relatives à la loi fédérale sur l'assurance-accidents, du 20 mars 1981 (LAA - RS 832.20). Sa compétence matérielle pour juger du cas d’espèce est ainsi établie.</w:t>
      </w:r>
    </w:p>
    <w:p>
      <w:r>
        <w:rPr>
          <w:b/>
        </w:rPr>
        <w:t>E. 1.2</w:t>
      </w:r>
    </w:p>
    <w:p>
      <w:r>
        <w:t>À teneur de l'art. 1 al. 1 LAA, les dispositions de la LPGA s'appliquent à l'assurance-accidents, à moins que la loi n'y déroge expressément. Le 1er janvier 2021 est entrée en vigueur la modification du 21 juin 2019 de la LPGA. Dans la mesure où le recours (du 6 septembre 2024) a été interjeté postérieurement au 1er janvier 2021, il est soumis au nouveau droit (cf. art. 82a LPGA a contrario).</w:t>
      </w:r>
    </w:p>
    <w:p>
      <w:r>
        <w:rPr>
          <w:b/>
        </w:rPr>
        <w:t>E. 1.3</w:t>
      </w:r>
    </w:p>
    <w:p>
      <w:r>
        <w:t>À teneur de l'art. 58 al. 1 LPGA, le tribunal des assurances compétent est celui du canton de domicile de l'assuré ou d'une autre partie au moment du dépôt du recours. Selon l’art. 58 al. 2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La compétence ratione loci de la chambre de céans est également donnée, compte tenu du siège à Genève de la société B______ SA, dernier employeur du recourant, qui est domicilié en France.</w:t>
      </w:r>
    </w:p>
    <w:p>
      <w:r>
        <w:rPr>
          <w:b/>
        </w:rPr>
        <w:t>E. 1.4</w:t>
      </w:r>
    </w:p>
    <w:p>
      <w:r>
        <w:t>Interjeté dans la forme (art. 61 let. b LPGA) et le délai de 30 jours (art. 60 al. 1 et 38 al. 4 let. b LPGA ; art. 62 al. 1 let. a de la loi sur la procédure administrative du 12 septembre 1985 [LPA - E 5 10]) prévus par la loi, le recours est recevable.</w:t>
      </w:r>
    </w:p>
    <w:p>
      <w:r>
        <w:rPr>
          <w:b/>
        </w:rPr>
        <w:t>E. 2</w:t>
      </w:r>
    </w:p>
    <w:p>
      <w:r>
        <w:t>Le litige porte sur le droit du recourant aux prestations de l’assurance-accidents pour la période postérieure au 24 janvier 2024, étant précisé que l’intimée a versé l’indemnité journalière jusqu’au 31 mars 2024, singulièrement sur l’existence d’un lien de causalité entre les atteintes invoquées et l’accident du 3 octobre 2022.</w:t>
      </w:r>
    </w:p>
    <w:p>
      <w:r>
        <w:rPr>
          <w:b/>
        </w:rPr>
        <w:t>E. 3.1</w:t>
      </w:r>
    </w:p>
    <w:p>
      <w:r>
        <w:t>Le 1er janvier 2017 est entrée en vigueur la modification du 25 septembre 2015 de la LAA. Dans la mesure où l'accident est survenu après cette date (le 3 octobre 2022), le droit du recourant aux prestations d'assurance est soumis au nouveau droit (cf. dispositions transitoires relatives à la modification du 25 septembre 2015 ; arrêt du Tribunal fédéral 8C_662/2016 du 23 mai 2017 consid. 2.2). Les dispositions légales seront donc citées ci-après dans leur teneur en vigueur depuis le 1er janvier 2017.</w:t>
      </w:r>
    </w:p>
    <w:p>
      <w:r>
        <w:rPr>
          <w:b/>
        </w:rPr>
        <w:t>E. 3.2</w:t>
      </w:r>
    </w:p>
    <w:p>
      <w:r>
        <w:t>Selon l'art. 6 al. 1 LAA, l'assureur-accidents verse des prestations à l'assuré en cas d'accident professionnel, d'accident non professionnel et de maladie professionnelle. Par accident, on entend toute atteinte dommageable, soudaine et</w:t>
      </w:r>
    </w:p>
    <w:p>
      <w:r>
        <w:t>A/2881/2024 - 14/22 -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3.3</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rPr>
          <w:b/>
        </w:rPr>
        <w:t>E. 3.3.1</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Selon la jurisprudence, l'utilisation par un médecin du terme « post-traumatique » ne suffit pas, à elle seule, à reconnaître un lien de causalité entre un accident et des troubles. En effet, on peut entendre par une affection « post-traumatique » des troubles qui ne sont pas causés par l'accident mais qui ne sont apparus qu'après l'accident (arrêt du Tribunal fédéral 8C_493/2023 du 6 février 2024 consid. 4.2 et la référence).</w:t>
      </w:r>
    </w:p>
    <w:p>
      <w:r>
        <w:rPr>
          <w:b/>
        </w:rPr>
        <w:t>E. 3.3.2</w:t>
      </w:r>
    </w:p>
    <w:p>
      <w:r>
        <w:t>En vertu de l'art. 36 al. 1 LAA, les prestations pour soins, les remboursements de frais ainsi que les indemnités journalières et les allocations pour impotent ne sont pas réduits lorsque l'atteinte à la santé n'est que</w:t>
      </w:r>
    </w:p>
    <w:p>
      <w:r>
        <w:t>A/2881/2024 - 15/22 -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rPr>
          <w:b/>
        </w:rPr>
        <w:t>E. 3.4</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w:t>
      </w:r>
    </w:p>
    <w:p>
      <w:r>
        <w:rPr>
          <w:b/>
        </w:rPr>
        <w:t>E. 3.4.1</w:t>
      </w:r>
    </w:p>
    <w:p>
      <w:r>
        <w:t>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w:t>
      </w:r>
    </w:p>
    <w:p>
      <w:r>
        <w:rPr>
          <w:b/>
        </w:rPr>
        <w:t>E. 3.4.2</w:t>
      </w:r>
    </w:p>
    <w:p>
      <w:r>
        <w:t>Dans un arrêt 8C_22/2019 du 24 septembre 2019 (publié aux ATF 146 V 51),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l'art. 4 LPGA et que l'assuré souffrait d'une lésion corporelle au sens de l'art. 6 al. 2 LAA. Le Tribunal fédéral a admis que dans cette hypothèse,</w:t>
      </w:r>
    </w:p>
    <w:p>
      <w:r>
        <w:t>A/2881/2024 - 16/22 - l'assureur-accidents devait prendre en charge les suites de la lésion en cause sur la base de l'art. 6 al. 1 LAA ; en revanche, en l'absence d'un accident au sens juridique, le cas devait être examiné sous l'angle de l'art. 6 al. 2 LAA (ATF 146 V 51 consid. 9.1 ; arrêt du Tribunal fédéral 8C_520 du 3 mai 2021 consid. 5.1 ; résumé dans la RSAS 1/2020 p. 33 ss.; arrêt du Tribunal fédéral 8C_169/2019 du 10 mars 2020 consid. 5.2).</w:t>
      </w:r>
    </w:p>
    <w:p>
      <w:r>
        <w:rPr>
          <w:b/>
        </w:rPr>
        <w:t>E. 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4.3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4.3.1</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w:t>
      </w:r>
    </w:p>
    <w:p>
      <w:r>
        <w:t>A/2881/2024 - 17/22 -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4.3.2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4.3.3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w:t>
      </w:r>
    </w:p>
    <w:p>
      <w:r>
        <w:t>A/2881/2024 - 18/22 -</w:t>
      </w:r>
    </w:p>
    <w:p>
      <w:r>
        <w:rPr>
          <w:b/>
        </w:rPr>
        <w:t>E. 5.2</w:t>
      </w:r>
    </w:p>
    <w:p>
      <w:r>
        <w:t>Dans le contexte de la suppression du droit à des prestations d'assurance sociales, le fardeau de la preuve incombe en principe à l'assureur-accidents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w:t>
      </w:r>
    </w:p>
    <w:p>
      <w:r>
        <w:rPr>
          <w:b/>
        </w:rPr>
        <w:t>E. 6</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7.1</w:t>
      </w:r>
    </w:p>
    <w:p>
      <w:r>
        <w:t>En l’espèce, l’intimée admet, notamment dans sa décision sur opposition, que le recourant a été victime d’un accident en date du 3 octobre 2022.</w:t>
      </w:r>
    </w:p>
    <w:p>
      <w:r>
        <w:t>A/2881/2024 - 19/22 - Il s’ensuit qu’il n’est pas nécessaire de déterminer si les lésions du pied droit figurent dans la liste de l’art. 6 al. 2 LAA.</w:t>
      </w:r>
    </w:p>
    <w:p>
      <w:r>
        <w:rPr>
          <w:b/>
        </w:rPr>
        <w:t>E. 7.2</w:t>
      </w:r>
    </w:p>
    <w:p>
      <w:r>
        <w:t>S'agissant du lien de causalité entre les atteintes alléguées et l'accident, au-delà du 24 janvier 2024, la chambre de céans a estimé qu'une instruction médicale complémentaire était nécessaire, par le biais d'une expertise judiciaire orthopédique. Fondés sur toutes les pièces du dossier, comprenant une anamnèse, la description des plaintes du recourant, un examen clinique, posant des diagnostics clairs et procédant à une analyse convaincante du lien de causalité entre ceux-ci et l'accident du 3 octobre 2022, le rapport d'expertise judiciaire du 16 mai 2025 et son complément du 3 juillet 2025 répondent aux réquisits jurisprudentiels précités pour qu'il leur soit reconnu une pleine valeur probante.</w:t>
      </w:r>
    </w:p>
    <w:p>
      <w:r>
        <w:rPr>
          <w:b/>
        </w:rPr>
        <w:t>E. 7.2.1</w:t>
      </w:r>
    </w:p>
    <w:p>
      <w:r>
        <w:t>Le recourant conclut, sur la base du rapport d'expertise judiciaire, à la reprise du versement des indemnités journalières au 1er avril 2024, au paiement de tous ses frais médicaux, à l'octroi d'une aide à la reconversion professionnelle, ainsi qu'à des dommages et intérêts de CHF 150'000.-.</w:t>
      </w:r>
    </w:p>
    <w:p>
      <w:r>
        <w:rPr>
          <w:b/>
        </w:rPr>
        <w:t>E. 7.2.2</w:t>
      </w:r>
    </w:p>
    <w:p>
      <w:r>
        <w:t>L'intimée relève que la valeur probante de l'expertise judiciaire pourrait être mise en doute par le fait que l'expert K______ a, dans un premier temps, répondu aux questions du projet de la mission d'expertise, tout en s'en remettant cependant à l'appréciation de la chambre de céans sur cette question.</w:t>
      </w:r>
    </w:p>
    <w:p>
      <w:r>
        <w:rPr>
          <w:b/>
        </w:rPr>
        <w:t>E. 7.2.2.1</w:t>
      </w:r>
    </w:p>
    <w:p>
      <w:r>
        <w:t>S'agissant des expertises judiciaires, le tribunal doit, pour respecter le droit d'être entendu des parties, donner aux deux parties la possibilité de s'exprimer sur les questions posées à un expert et de faire des propositions de modification ou de complément (arrêt du Tribunal fédéral 9C 162/2019 du 29 mai 2019 ; David IONTA, Expertises médicales en assurances sociales, in : Jusletter du 14 octobre 2024, p. 52). En l'occurrence, le droit d'être entendu des parties a été respecté dès lors que celles-ci ont pu présenter leurs propositions de modification des questions figurant dans le projet de la mission d'expertise du 23 janvier 2025 et que la mission d'expertise du 12 février 2025 a été ensuite partiellement modifiée. En outre, si, dans un premier temps, l'expert judiciaire a rédigé son rapport d'expertise sur la base du projet de la mission d'expertise, il a pu compléter son rapport le 3 juillet 2025 en répondant à toutes les questions de l'ordonnance d'expertise.</w:t>
      </w:r>
    </w:p>
    <w:p>
      <w:r>
        <w:rPr>
          <w:b/>
        </w:rPr>
        <w:t>E. 7.2.2.2</w:t>
      </w:r>
    </w:p>
    <w:p>
      <w:r>
        <w:t>Le fait que l'expert judiciaire ait, dans un premier temps, répondu aux seules questions du projet de la mission d'expertise ne saurait ôter toute valeur probante à son rapport. En effet, d'une part, les différences entre les deux missions d'expertise étaient minimes, d'autre part, le fait d'avoir pris connaissance du projet de la mission d'expertise avant la mission d'expertise définitive ne permet pas de conclure que</w:t>
      </w:r>
    </w:p>
    <w:p>
      <w:r>
        <w:t>A/2881/2024 - 20/22 - l'expert aurait été influencé ou orienté de telle manière que ses réponses ultérieures ne seraient pas probantes ou que son rapport d'expertise serait biaisé. À cet égard, si l'on examine concrètement les différences entre les deux missions d'expertise, on constate que la question 5.1.2 a été complétée dans l'ordonnance d'expertise, en requérant de l'expert qu'il indique si l'éventuel phénomène de surutilisation (du pied gauche) était en lien probable avec l'accident. Or, l'expert a indiqué dans son rapport d'expertise la présence effective d'une surutilisation du pied gauche (sans substrat anatomique), et a précisé, dans son complément de rapport d'expertise, qu'il l'estimait en lien probable avec l'accident. Cette dernière réponse ne fait que compléter la première, de sorte que la réponse de l'expert, en deux temps, n'a aucune incidence sur son contenu. Ensuite, la question 5.2 du projet de la mission d'expertise a été précisée dans l'ordonnance d'expertise, par la mention « à l'accident du 3 octobre 2022 » après le terme « préexistant ». Or, la réponse de l'expert judiciaire à la question 5.2 du projet de mission d'expertise démontre qu'il avait bien compris que le terme « préexistant » se rapportait à la date de l'accident. Enfin, la question 7.1 de l'ordonnance d'expertise précisait que la date du 24 janvier 2024 se référait à celle du rapport du Dr I______, ce qui a été signalé à l'expert judiciaire, lequel a indiqué, dans son complément d'expertise, que cela ne modifiait aucunement la réponse donnée.</w:t>
      </w:r>
    </w:p>
    <w:p>
      <w:r>
        <w:rPr>
          <w:b/>
        </w:rPr>
        <w:t>E. 7.3</w:t>
      </w:r>
    </w:p>
    <w:p>
      <w:r>
        <w:t>Au vu de ce qui précède, la valeur probante du rapport d'expertise du Prof. K______ n'est pas mise en doute par le fait que celui-ci a d'abord répondu aux questions du projet de la mission d'expertise et ensuite aux questions modifiées par l'ordonnance d'expertise. L'intimée ne le prétend d'ailleurs pas. Enfin, il est à constater que l'intimée n'a pas contesté les conclusions du rapport d'expertise judiciaire dès lors qu'elle a indiqué qu'elle n'avait pas d'observations au sujet de son contenu.</w:t>
      </w:r>
    </w:p>
    <w:p>
      <w:r>
        <w:rPr>
          <w:b/>
        </w:rPr>
        <w:t>E. 7.4</w:t>
      </w:r>
    </w:p>
    <w:p>
      <w:r>
        <w:t>Au demeurant, il convient de suivre les conclusions de l'expertise judiciaire et d'admettre qu'il existe un lien de causalité, probable, entre les atteintes au pied droit du recourant et l'accident du 3 octobre 2022, qu'il existe également un tel lien de causalité probable entre la surutilisation du pied gauche du recourant et l'accident du 3 octobre 2022 (étant relevé que l'expert judiciaire n'a, au jour de son expertise, pas constaté de substrat anatomique à cette surutilisation) et que l'état de santé du recourant n'est pas stabilisé.</w:t>
      </w:r>
    </w:p>
    <w:p>
      <w:r>
        <w:rPr>
          <w:b/>
        </w:rPr>
        <w:t>E. 7.5</w:t>
      </w:r>
    </w:p>
    <w:p>
      <w:r>
        <w:t>Le recourant réclame également le versement de dommages et intérêts de CHF 150'000.-. Selon l'art. 78 LPGA, les corporations de droit public, les organisations fondatrices privées et les assureurs répondent, en leur qualité de garants de l'activité des organes d'exécution des assurances sociales, des dommages causés</w:t>
      </w:r>
    </w:p>
    <w:p>
      <w:r>
        <w:t>A/2881/2024 - 21/22 - illicitement à un assuré ou à des tiers par leurs organes d'exécution ou par leur personnel (al. 1). L'autorité compétente rend une décision sur les demandes en réparation (al. 2). La responsabilité subsidiaire de la Confédération pour les institutions indépendantes de l'administration ordinaire de la Confédération est régie par l'art. 19 de la loi du 14 mars 1958 sur la responsabilité de la Confédération, des membres de ses autorités et de ses fonctionnaires (LRCF - RS 170.32) (al. 3). Les dispositions de la présente loi s'appliquent à la procédure prévue aux al. 1 et 3. Il n'y a pas de procédure d'opposition. Les art. 3 à 9, 11, 12, 20 al. 1, 21 et 23 de la loi sur la responsabilité sont applicables par analogie (al. 4). Il appartient ainsi à l’autorité compétente de rendre une décision sur les prétentions émises par la personne lésée (art. 78 al. 2 LPGA) (Alexis OVERNEY in Commentaire romand, LPGA, 2018, n. 45 ad art. 78 LPGA). Aux termes de l’art. 100 LAA, les demandes en réparation au sens de l’art. 78 LPGA doivent être déposées auprès de l’assureur, qui statue par décision. En conséquence, la demande du recourant sera transmise à l'intimée, comme objet de sa compétence.</w:t>
      </w:r>
    </w:p>
    <w:p>
      <w:r>
        <w:rPr>
          <w:b/>
        </w:rPr>
        <w:t>E. 7.6</w:t>
      </w:r>
    </w:p>
    <w:p>
      <w:r>
        <w:t>Enfin, le recourant requiert une aide à la reconversion professionnelle. Or, les mesures d'ordre professionnel sont de la compétence de l'assurance-invalidité, et le recourant est invité à faire valoir sa demande auprès de cette autorité.</w:t>
      </w:r>
    </w:p>
    <w:p>
      <w:r>
        <w:rPr>
          <w:b/>
        </w:rPr>
        <w:t>E. 8</w:t>
      </w:r>
    </w:p>
    <w:p>
      <w:r>
        <w:t>Partant, le recours sera partiellement admis, la décision litigieuse annulée et il sera dit que les atteintes au pied droit du recourant et la surutilisation du pied gauche sont en lien de causalité avec l'accident ; l'intimée sera en conséquence condamnée à verser les prestations légales, soit tous les frais de traitement au-delà du 24 janvier 2024 et les indemnités journalières au-delà du 31 mars 2024, étant précisé que dès la stabilisation de l'état de santé du recourant, l'intimée est invitée à se prononcer sur le droit du recourant à une rente d'invalidité et à une indemnité pour atteinte à l'intégrité.</w:t>
      </w:r>
    </w:p>
    <w:p>
      <w:r>
        <w:t>A/2881/2024 - 22/22 -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