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ATAS/602/2022 vom 30. Juni 2022</w:t>
      </w:r>
    </w:p>
    <w:p>
      <w:r>
        <w:t>GE Cour de justice, 2022-06-30, FR</w:t>
      </w:r>
    </w:p>
    <w:p>
      <w:r>
        <w:rPr>
          <w:b/>
        </w:rPr>
        <w:t xml:space="preserve">Quelle: </w:t>
      </w:r>
      <w:r>
        <w:t>https://mcp.opencaselaw.ch/entscheid/ge_gerichte_ATAS_602_2022</w:t>
      </w:r>
    </w:p>
    <w:p>
      <w:r>
        <w:t>FR: GE_GERICHTE ATAS/602/2022 du 30 juin 2022</w:t>
      </w:r>
    </w:p>
    <w:p>
      <w:r>
        <w:t>IT: GE_GERICHTE ATAS/602/2022 del 30 giugno 2022</w:t>
      </w:r>
    </w:p>
    <w:p>
      <w:pPr>
        <w:pStyle w:val="Heading2"/>
      </w:pPr>
      <w:r>
        <w:t>Erwägungen</w:t>
      </w:r>
    </w:p>
    <w:p>
      <w:r>
        <w:rPr>
          <w:b/>
        </w:rPr>
        <w:t>E. 1</w:t>
      </w:r>
    </w:p>
    <w:p>
      <w:r>
        <w:t>Conformément à l’art. 134 al. 1 let. a ch. 2 de la loi sur l’organisation judiciaire, du 26 septembre 2010 (LOJ - E 2 05), la chambre des assurances sociales de la Cour</w:t>
      </w:r>
    </w:p>
    <w:p>
      <w:r>
        <w:t>A/3171/2019 - 27/46 -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5</w:t>
      </w:r>
    </w:p>
    <w:p>
      <w:r>
        <w:t>Le délai de recours est de trente jours (art. 56 LPGA ;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rPr>
          <w:b/>
        </w:rPr>
        <w:t>E. 6</w:t>
      </w:r>
    </w:p>
    <w:p>
      <w:r>
        <w:t>Le litige porte sur le bien-fondé de la décision de refus d’octroyer des prestations invalidité rendue par l’OAI, en date du 27 juin 2019.</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A/3171/2019 - 28/46 -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rPr>
          <w:b/>
        </w:rPr>
        <w:t>E. 8.2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w:t>
      </w:r>
    </w:p>
    <w:p>
      <w:r>
        <w:t>A/3171/2019 - 29/46 -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8.3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A/3171/2019 - 30/46 -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w:t>
      </w:r>
    </w:p>
    <w:p>
      <w:r>
        <w:t>A/3171/2019 - 31/46 -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w:t>
      </w:r>
    </w:p>
    <w:p>
      <w:r>
        <w:t>A/3171/2019 - 32/46 -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w:t>
      </w:r>
    </w:p>
    <w:p>
      <w:r>
        <w:t>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w:t>
      </w:r>
    </w:p>
    <w:p>
      <w:r>
        <w:t>A/3171/2019 - 33/46 -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w:t>
      </w:r>
    </w:p>
    <w:p>
      <w:r>
        <w:t>A/3171/2019 - 34/46 -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11</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12</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13</w:t>
      </w:r>
    </w:p>
    <w:p>
      <w:r>
        <w:t>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w:t>
      </w:r>
    </w:p>
    <w:p>
      <w:r>
        <w:t>A/3171/2019 - 35/46 - (ATF 139 V 346 consid. 3 ; arrêt du Tribunal fédéral 9C_73/2013 du 2 septembre 2013 consid. 5).</w:t>
      </w:r>
    </w:p>
    <w:p>
      <w:r>
        <w:rPr>
          <w:b/>
        </w:rPr>
        <w:t>E. 14.1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14.2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14.3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w:t>
      </w:r>
    </w:p>
    <w:p>
      <w:r>
        <w:t>A/3171/2019 - 36/46 - le juge ne saurait les écarter aussi longtemps qu'aucun indice concret ne permet de douter de leur bien-fondé (ATF 135 V 465 consid. 4.4 et les références ;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 ATF 137 V 210 consid. 6 ; arrêts du Tribunal fédéral 9C_808/2019 du 18 août 2020 consid. 5.2. et 9C_109/2018 du 15 juin 2018 consid. 5.1).</w:t>
      </w:r>
    </w:p>
    <w:p>
      <w:r>
        <w:rPr>
          <w:b/>
        </w:rPr>
        <w:t>E. 14.4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14.5</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A/3171/2019 - 37/46 -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4.6 ; arrêt du Tribunal fédéral 9C_301/2013 du 4 septembre 2013 consid. 3).</w:t>
      </w:r>
    </w:p>
    <w:p>
      <w:r>
        <w:rPr>
          <w:b/>
        </w:rPr>
        <w:t>E. 14.6</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14.7</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14.8</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w:t>
      </w:r>
    </w:p>
    <w:p>
      <w:r>
        <w:t>A/3171/2019 - 38/46 -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14.9</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w:t>
      </w:r>
    </w:p>
    <w:p>
      <w:r>
        <w:t>A/3171/2019 - 39/46 -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 du Tribunal fédéral des assurances I 35/03 du 24 octobre 2003 consid. 4.3 et les références, in Plädoyer 2004/3 p. 64 ; arrêt du Tribunal fédéral 9C_512/2013 du 16 janvier 2014 consid. 5.2.1).</w:t>
      </w:r>
    </w:p>
    <w:p>
      <w:r>
        <w:rPr>
          <w:b/>
        </w:rPr>
        <w:t>E. 15</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16.1</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16.2</w:t>
      </w:r>
    </w:p>
    <w:p>
      <w:r>
        <w:t>Dans un arrêt de principe du 2 décembre 2019 (ATF 145 V 361), le Tribunal fédéral, à la lumière de l'ATF 141 V 281, a notamment posé une délimitation, entre l'examen (libre), par les autorités chargées de l'application du droit, de l'admission</w:t>
      </w:r>
    </w:p>
    <w:p>
      <w:r>
        <w:t>A/3171/2019 - 40/46 -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16.3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w:t>
      </w:r>
    </w:p>
    <w:p>
      <w:r>
        <w:t>A/3171/2019 - 41/46 -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18</w:t>
      </w:r>
    </w:p>
    <w:p>
      <w:r>
        <w:t>En l’espèce, suite aux ordonnances d’expertise bi-disciplinaire, l’expert psychiatre a conclu à une capacité de travail de 40 %, depuis 2012 jusqu’au début de l’année 2019, dans l’activité habituelle et dans une activité adaptée, et de 0 % depuis le début de l’année 2019. L’expert rhumatologue a, quant à lui, conclu à une capacité de travail de 50 % dans l’activité habituelle et dans une activité adaptée depuis l’année 2003. La recourante s’est ralliée aux conclusions des experts alors que l’intimé, selon ses dernières déclarations lors de l’audience de comparution personnelle du 1er juin 2022, les a réfutées au motif qu’il y avait eu une exagération des symptômes de la part de l’assurée et qu’il n’y avait pas eu de validation des tests psychologiques qui avaient été effectués.</w:t>
      </w:r>
    </w:p>
    <w:p>
      <w:r>
        <w:t>A/3171/2019 - 42/46 - La chambre de céans observe que les experts ont chacun pris connaissance du dossier complet de la recourante, étudié et discuté les rapports pertinents y figurant, présenté des anamnèses détaillées et retranscrit précisément les informations livrées par la recourante s’agissant, particulièrement, des traitements suivis, de ses plaintes et de ses habitudes. Ils ont argumenté les diagnostics retenus quant aux limitations fonctionnelles et à la capacité de travail. L’expert rhumatologue a eu l’occasion de préciser certains points de son expertise ainsi que le sens du contenu du consilium avec son confrère psychiatre, lors de son audition du 1er juin 2022. Les rapports d’expertise psychiatrique et rhumatologique remplissent donc, a priori, les exigences jurisprudentielles pour se voir reconnaître une pleine valeur probante.</w:t>
      </w:r>
    </w:p>
    <w:p>
      <w:r>
        <w:rPr>
          <w:b/>
        </w:rPr>
        <w:t>E. 18.1</w:t>
      </w:r>
    </w:p>
    <w:p>
      <w:r>
        <w:t>En ce qui concerne les critiques du service SMR de l’OAI figurant dans l’avis médical du 8 avril 2022 et notamment de l’apparente contradiction entre les conclusions du Dr Z________ figurant dans son rapport d’expertise et le contenu de son courrier du 30 mars 2022, le Dr Z________ s’est expliqué en détail lors de l’audience du 1er juin 2022. Il a exposé que la question du syndrome somatoforme douloureux ou fibromyalgie n’était pas du ressort de la rhumatologie mais plutôt de la psychiatrie, ce qui signifiait qu’il se ralliait aux conclusions de son confrère psychiatre sur ce point. Il a encore précisé que cela n’avait aucune répercussion sur sa conclusion, figurant au bas de la page 18 de son rapport du 7 décembre 2021, selon laquelle l’assurée avait une capacité de travail de 50 %, soit quatre heures par jour, dans son activité habituelle d’aide comptable, qui était également une activité adaptée à ses troubles de la santé. S’agissant du point soulevé par l’intimé, à savoir l’exagération des symptômes de la part de l’assurée, on ne voit pas en quoi cet élément serait de nature à remettre en question la valeur probante des expertises dès lors que les experts eux-mêmes ont constaté l’exagération des symptômes et en ont tenu compte dans le cadre de leurs conclusions. L’expert psychiatre a ainsi relevé que l’expertisée était démonstrative sans être théâtrale, en page 18 de son rapport d’expertise et a noté, en page 21, que l’évaluation de la validité des symptômes mettait en évidence un biais de réponse, amenant ainsi à se questionner quant à une exagération des symptômes. En page 25 in fine du rapport, l’expert a noté spécifiquement qu’en accord avec les expertises précédentes, il confirmait la présence d’une majoration des symptômes physiques pour des raisons psychologiques tout en amenant certaines nuances. Le bilan neuropsychologique avec tests de validation soutenait par ailleurs une exagération des déficits cognitifs à l’heure actuelle. En page 26, l’expert a expliqué que l’assurée majorait ses symptômes avec une composante inconsciente démontrée par le test de validation. La majoration des plaintes a été encore une fois abordée en page 28, où l’expert a déclaré que les atteintes au fonctionnement cognitif devaient être relativisées compte tenu de la présence d’une majoration des symptômes</w:t>
      </w:r>
    </w:p>
    <w:p>
      <w:r>
        <w:t>A/3171/2019 - 43/46 - détectée par le test de validation. La minimisation des progrès avec une exagération des plaintes rapportées à encore été mentionnée au milieu de la page 30 et il a été rappelé dans les conclusions, en page 35, que sur le plan de sa personnalité, les traits histrioniques et narcissiques étaient un facteur influençant l’expression de la souffrance de l’assurée (dramatisation, tendance à la majoration) mais aussi aggravant quant aux perspectives de récupération. En ce qui concerne l’expert rhumatologue, ce dernier a relevé, en page 13 de son rapport d’expertise, la présence de signes de non organicité selon WADDELL, notamment le fait que l’assurée ne pouvait pas se pencher en avant mais qu’elle se relevait de la table d’examen en faisant une flexion du rachis ; qu’elle ne pouvait pas mobiliser sa hanche gauche et qu’elle faisait des flexions de hanche normales lorsqu’elle se déshabillait et lorsqu’elle s’est habillée, et enfin qu’elle bougeait la nuque normalement lors de l’anamnèse et lorsqu’elle se déplaçait dans la rue. Tous ces points ont été répétés lors de l’appréciation clinique, en page 17 du rapport d’expertise, et expliqués en page 18 : « les Fibromyalgiques ont l’impression que personne ne les croit. C’est pour cela qu’ils ont tendance à surjouer les plaintes et que souvent on les traite d’histrioniques ». L’expert a encore renvoyé à cette explication lorsqu’il s’est prononcé sur la cohérence en page 20, in fine, de son rapport d’expertise. Dès lors que ces éléments de majoration ont été identifiés par les experts et mentionnés à plusieurs reprises dans le rapport d’expertise, on peut considérer que lesdites majorations ont été dûment prises en compte avant que les experts ne rendent leurs conclusions sur la capacité de travail de l’expertisée. L’OAI n’explique pas en quoi les majorations auraient éventuellement été insuffisamment estimées par les experts, ni en quoi cela affecterait leurs conclusions quant à la capacité de travail de l’assurée. Par conséquent, le grief de l’intimé doit être écarté.</w:t>
      </w:r>
    </w:p>
    <w:p>
      <w:r>
        <w:rPr>
          <w:b/>
        </w:rPr>
        <w:t>E. 18.2</w:t>
      </w:r>
    </w:p>
    <w:p>
      <w:r>
        <w:t>S’agissant de l’absence de validation des tests psychologique effectués, ce grief se confond partiellement avec celui des majorations des symptômes et de certaines discordances. Dès lors que l’expert psychiatre a identifié les majorations des plaintes ainsi que les discordances au niveau de l’appréciation des atteintes au fonctionnement cognitif comme cela été vu supra, l’absence de validation des tests ne remet pas en question la valeur probante des rapports d’expertise. Par ailleurs, les critiques émises par le SMR de l’OAI le 4 janvier 2022 se rapportent le plus souvent à des comparaisons avec les conclusions de l’expertise administrative de 2018 dont la chambre de céans s’est écartée, raison pour laquelle elle a décidé d’ordonner une expertise judiciaire bi-disciplinaire. Notamment, le fait que l’assurée ait déclaré en 2018 qu’elle emmenait ses enfants en voiture et partait en vacances au Kosovo tous les ans n’entre pas en contradiction avec le fait qu’elle n’indique plus utiliser sa voiture en 2021 et qu’elle ne mentionne pas être partie en vacances récemment, ce qui peut d’ailleurs être</w:t>
      </w:r>
    </w:p>
    <w:p>
      <w:r>
        <w:t>A/3171/2019 - 44/46 - expliqué par la situation financière précaire de l’assurée, qui vit grâce aux prestations de l’Hospice général, comme elle l’a déclaré lors de la comparution personnelle du 1er juin 2022. L’examen des ressources personnelles de l’assurée, tel qu’il a été effectué par l’expert psychiatre, ne prête pas pour autant le flanc à la critique. Il sied encore d’ajouter que l’aggravation de l’état de santé de l’assurée a été fixée par l’expert psychiatre au début de l’année 2019, ce qui permet d’expliquer les différences notables entre les constatations des experts de 2018 et celles des experts de 2021. En ce qui concerne les critiques émises par le SMR à l’encontre de l’expertise du Dr Z________ (notamment avis médical du SMR du 4 janvier 2022, page 4), on observe une différence d’appréciation des médecins du SMR et du Dr Z________ quant à la sévérité de l’atteinte au rachis qui ne remet pas pour autant en question le rapport d’expertise dès lors qu’il ne s’agit que d’une différence d’appréciation et non pas d’une contradiction. De même, le SMR se rapporte, une nouvelle fois, à l’expertise rhumatologique administrative réalisée en 2018 en s’étonnant du fait que l’expert Z________ « s’en éloigne » alors même que ce dernier a clairement expliqué, page 21, ch. 9 de son rapport d’expertise, les raisons pour lesquelles il se distanciait des conclusions de l’expertise administrative de 2018, approuvant les diagnostics posés mais s’écartant de l’implication sur la capacité de travail. On relèvera, enfin, que la capacité de travail retenue par l’expert Z________ correspond, par ailleurs, à la capacité de travail de 50 % retenue par le neurologue N______, dans son avis médical du 10 juillet 2017. Compte tenu de l’ensemble de ces éléments, la chambre de céans considère que les rapports d’expertise rendus par le Prof. X________ et le Dr Z________ présentent une valeur probante et peuvent être suivis dans leurs conclusions, notamment quant à la capacité de travail.</w:t>
      </w:r>
    </w:p>
    <w:p>
      <w:r>
        <w:rPr>
          <w:b/>
        </w:rPr>
        <w:t>E. 18.3</w:t>
      </w:r>
    </w:p>
    <w:p>
      <w:r>
        <w:t>L’expert psychiatre estime que la capacité de travail dans une activité habituelle ou adaptée de la recourante est de 40 % pour la période allant du début 2012 au début 2019, et nulle depuis lors. L’expert rhumatologue estime, quant à lui, que la capacité de travail dans l’activité habituelle ou adaptée est de 50 % depuis la date de l’accident, soit depuis 2003. Étant rappelé que, selon les experts, l’activité habituelle d’aide comptable est considérée comme étant une activité adaptée pour l’assurée. Compte tenu du fait que le juge ne s'écarte pas, sans motifs impératifs, des conclusions d'une expertise médicale judiciaire, et qu’il n’existe pas de motifs de s'écarter des deux rapports d’expertise dès lors qu’ils ne contiennent pas de contradictions, la chambre de céans suivra les conclusions des experts sur les dates de disparition partielle ou complète de la capacité de travail de la recourante. En ce qui concerne le calcul du taux d’invalidité, la décision querellée ne contient pas d’élément chiffré permettant d’effectuer une comparaison des revenus dès lors</w:t>
      </w:r>
    </w:p>
    <w:p>
      <w:r>
        <w:t>A/3171/2019 - 45/46 - que l’intimé a refusé toute prestation de l’assurance invalidité au motif que l’état de santé de l’assurée ne s’était pas aggravé depuis la décision du 14 avril 2010. Il appartient donc à l’OAI de réactualiser les revenus de l’assurée, de procéder à une comparaison des revenus et d’effectuer le calcul du taux d’invalidité, pour une personne travaillant à 100 % conformément à la note de statut du 4 janvier 2019 et en tenant compte de la date du 20 avril 2015 comme date de dépôt de la demande de prestation invalidité. En se fondant sur l’avis de l’expert psychiatre, la capacité de travail dans l’activité habituelle ou adaptée était de 40 % à ce moment (et depuis 2012) et est descendue à 0 % au début de l’année 2019. L’OAI prendra comme point de départ de la capacité nulle dans une activité habituelle ou adaptée le mois de février 2019, qui correspond au mois pendant lequel les Drs N______ et O______ ont rendu leurs rapports.</w:t>
      </w:r>
    </w:p>
    <w:p>
      <w:r>
        <w:rPr>
          <w:b/>
        </w:rPr>
        <w:t>E. 19</w:t>
      </w:r>
    </w:p>
    <w:p>
      <w:r>
        <w:t>Compte tenu de ce qui précède, le recours sera admis et la décision du 27 juin 2019 sera annulée.</w:t>
      </w:r>
    </w:p>
    <w:p>
      <w:r>
        <w:rPr>
          <w:b/>
        </w:rPr>
        <w:t>E. 20</w:t>
      </w:r>
    </w:p>
    <w:p>
      <w:r>
        <w:t>La recourante obtenant gain de cause et étant assistée d’un avocat, une indemnité de CHF 4’000.- lui sera accordée à titre de participation à ses frais et dépens (art. 61 let. g LPGA ; art. 6 du règlement sur les frais, émoluments et indemnités en matière administrative du 30 juillet 1986 [RFPA - E 5 10.03]).</w:t>
      </w:r>
    </w:p>
    <w:p>
      <w:r>
        <w:rPr>
          <w:b/>
        </w:rPr>
        <w:t>E. 21</w:t>
      </w:r>
    </w:p>
    <w:p>
      <w:r>
        <w:t>Au vu du sort du recours, il y a lieu de condamner l'intimé au paiement d'un émolument de CHF 200.- (art. 69 al. 1bis LAI).</w:t>
      </w:r>
    </w:p>
    <w:p>
      <w:r>
        <w:t>A/3171/2019 - 46/46 -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