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ATAS/602/2017 vom 30. Juni 2017</w:t>
      </w:r>
    </w:p>
    <w:p>
      <w:r>
        <w:t>GE Cour de justice, 2017-06-30, FR</w:t>
      </w:r>
    </w:p>
    <w:p>
      <w:r>
        <w:rPr>
          <w:b/>
        </w:rPr>
        <w:t xml:space="preserve">Quelle: </w:t>
      </w:r>
      <w:r>
        <w:t>https://mcp.opencaselaw.ch/entscheid/ge_gerichte_ATAS_602_2017</w:t>
      </w:r>
    </w:p>
    <w:p>
      <w:r>
        <w:t>FR: GE_GERICHTE ATAS/602/2017 du 30 juin 2017</w:t>
      </w:r>
    </w:p>
    <w:p>
      <w:r>
        <w:t>IT: GE_GERICHTE ATAS/602/2017 del 30 giugno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1 al. 1 de la LAMal, les dispositions de la LPGA, entrée en vigueur le 1er janvier 2003, sont applicables au cas d’espèce.</w:t>
      </w:r>
    </w:p>
    <w:p>
      <w:r>
        <w:rPr>
          <w:b/>
        </w:rPr>
        <w:t>E. 3</w:t>
      </w:r>
    </w:p>
    <w:p>
      <w:r>
        <w:t>Interjeté dans les délai et forme prescrits par la loi, le recours doit être déclaré recevable (art. 56ss LPGA).</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l'occurrence, la recourante conclut à la prise en charge par l'intimée du traitement sollicité le 15 juillet 2015 par le Dr B______, lequel portait sur l'extraction des dents n° 13 et 53, et l'implant n°13. Or, dans la mesure où, dans sa décision litigieuse, l'intimée s'est prononcée exclusivement sur la prise en charge de l'extraction de la dent n°13, le recours de la recourante sera déclaré irrecevable en tant qu'il conclut à la prise en charge de l'extraction de la dent n°53 et de l'implant n°13.</w:t>
      </w:r>
    </w:p>
    <w:p>
      <w:r>
        <w:rPr>
          <w:b/>
        </w:rPr>
        <w:t>E. 5</w:t>
      </w:r>
    </w:p>
    <w:p>
      <w:r>
        <w:t>Le litige porte donc sur la question de savoir si c'est à juste titre que l’intimée a refusé de prendre en charge les coûts de l’extraction de la dent n°13.</w:t>
      </w:r>
    </w:p>
    <w:p>
      <w:r>
        <w:rPr>
          <w:b/>
        </w:rPr>
        <w:t>E. 6</w:t>
      </w:r>
    </w:p>
    <w:p>
      <w:r>
        <w:t>La recourante fait tout d'abord valoir l'absence de motivation de la décision querellée.</w:t>
      </w:r>
    </w:p>
    <w:p>
      <w:r>
        <w:t>A/916/2016 - 9/16 - Conformément à l’art. 49 al. 3 LPGA, les décisions doivent être motivées si elles ne font pas entièrement droit aux demandes des parties. Pour répondre à ces exigences, l'administration doit mentionner,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in RDAF 2009 II p. 434). En l'occurrence, contrairement à ce qu'avance la recourante, la décision litigieuse permet de comprendre les éléments de faits et droit qui ont été retenus, ce qui est corroboré, au demeurant, par la teneur des écritures que la recourante a produites. Il s'ensuit que l'intimée n'a pas violé l'obligation de motiver sa décision.</w:t>
      </w:r>
    </w:p>
    <w:p>
      <w:r>
        <w:rPr>
          <w:b/>
        </w:rPr>
        <w:t>E. 7</w:t>
      </w:r>
    </w:p>
    <w:p>
      <w:r>
        <w:t>La recourante conclut à ce que la pièce n°2 du chargé de l’intimée soit écartée. La chambre de céans constate que, contrairement à ce que fait valoir la recourante, cette pièce comprend notamment un rapport manuscrit rédigé le 27 janvier 2016 en allemand par le Dr D______ - ce que l'audition du Dr C______ a permis de confirmer – et qu'une traduction libre en français du résumé dudit rapport figure dans la décision litigieuse (consid. 9). La conclusion prise par la recourante concernant la pièce n°2 du chargé de l’intimée sera donc rejetée.</w:t>
      </w:r>
    </w:p>
    <w:p>
      <w:r>
        <w:rPr>
          <w:b/>
        </w:rPr>
        <w:t>E. 8</w:t>
      </w:r>
    </w:p>
    <w:p>
      <w:r>
        <w:t>a. Selon l'art. 31 al. 1 LAMal,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Selon l'art. 33 al. 2 LAMal, il appartient au Conseil fédéral de désigner en détail les prestations prévues à l'art. 31 al. 1 LAMal. A l'art. 33 let. d de l’ordonnance sur l’assurance-maladie du 27 juin 1995 (OAMal ; RS 832.102), le Conseil fédéral, comme le permet l'art. 33 al. 5 LAMal, a délégué à son tour cette compétence au Département fédéral de l'intérieur (DFI). Le DFI a fait usage de cette sous- délégation aux art. 17 à 19a de l'ordonnance sur les prestations dans l'assurance obligatoire des soins en cas de maladie du 29 septembre 1995 (OPAS; RS 832.112.31).</w:t>
      </w:r>
    </w:p>
    <w:p>
      <w:r>
        <w:t>A/916/2016 - 10/16 - L'art. 17 OPAS, édicté en exécution de l'art. 31 al. 1 let. a LAMal, renferme une liste des maladies graves et non évitables du système de la mastication. Cette liste est exhaustive (ATF 124 V 185 consid. 4 et 346 consid. 3a). Sous le titre "Maladies du système de la mastication", l'art. 17 let. a OPAS a la teneur suivante: A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1er let. a LAMal): a. maladies dentaires: 1. granulome dentaire interne idiopathique, 2. dislocations dentaires, dents ou germes dentaires surnuméraires, pouvant être qualifiées de maladie (par exemple: abcès, kyste). b. Le Tribunal fédéral des assurances a confié à un collège d'experts, le 28 mars 2000, une expertise de principe en matière de médecine dentaire. Ils ont répondu aux questions posées sur un plan général, c'est-à-dire abstraction faite des cas particuliers pendants devant le tribunal. Ils ont ainsi fourni les éléments qui permettent une interprétation de la loi fondée sur une meilleure compréhension de la science médicale dont elle s'inspire. Les experts ont été invités à se prononcer sur le caractère de maladie en présence de dislocations dentaires (position ectopique des dents), dents ou germes dentaires surnuméraires au sens de l'art. 17 let. a ch. 2 OPAS. Ils ont estimé qu'il devait s'agir d'une maladie qualifiée par rapport à la notion de maladie définie à l'art. 2 al. 1 LAMal. Du moment que les notions de "dislocations dentaires" et de "dents ou germes dentaires surnuméraires" visent aussi bien des maladies sévères que des affections de peu de gravité du système de la mastication, il est possible, grâce à ce critère de distinction, de délimiter les maladies graves - c'est-à-dire celles qui revêtent le caractère de maladie au sens de l'ordonnance - des autres affections qui ne peuvent pas être qualifiées de graves et qui, en conséquence, ne tombent pas sous le coup de l'art. 31 al. 1 LAMal (ATF 127 V 391 consid. 3a). Sur la base des conclusions des experts, le Tribunal fédéral des assurances a été amené à considérer, de manière générale, que dans la mesure où elle suppose l'existence d'une atteinte qualifiée à la santé, la notion de maladie au sens des art. 17 (phrase introductive) et 17 let. a ch. 2 OPAS, est plus restrictive que la notion de maladie valable généralement dans l'assurance-maladie sociale (art. 2 al. 1 LAMal). Autrement dit, le degré de gravité de la maladie est une des conditions de la prise en charge par l'assurance-maladie des traitements dentaires; les atteintes à la santé qui ne présentent pas ce degré de gravité n'entrent pas dans les prévisions de l'art. 31 al. 1 LAMal. La répétition du terme "maladie" à l'art. 17 let. a ch. 2 OPAS vise à mettre l'accent sur la condition de gravité requise</w:t>
      </w:r>
    </w:p>
    <w:p>
      <w:r>
        <w:t>A/916/2016 - 11/16 - de manière générale à l'art. 17 OPAS. En effet, dans le cas de dislocations dentaires, dents ou germes dentaires surnuméraires, il se trouve précisément un nombre prépondérant d'affections légères par rapport aux atteintes à la santé qui revêtent un caractère de gravité (ATF 127 V 391 consid. 3a; ATF 127 V 334 consid. 5b). Afin d'être en mesure d'évaluer le degré de gravité de la maladie en cas de dislocations dentaires, de dents ou germes dentaires surnuméraires, les experts opèrent une distinction entre la dentition en développement - en règle ordinaire jusqu'à l'âge de 18 ans - et la dentition définitive. S'agissant d'une dentition en développement, l'affection peut avoir valeur de maladie lorsqu'elle provoque une entrave à son développement ordonné ou en présence d'un phénomène pathologique. Pour ce qui est d'une dentition définitive, une entrave à un développement ordonné de la dentition n'entre pas en ligne de compte; l'état de maladie se limite ici à un phénomène pathologique. Toujours selon les experts, on parle de phénomène pathologique quand il est en relation avec une dislocation dentaire ou des dents ou germes dentaires surnuméraires, qu'il ne peut être combattu par des mesures prophylactiques, qu'il provoque des dommages importants aux dents avoisinantes, à l'os maxillaire ou aux tissus mous avoisinants ou encore qu'il risque, selon une évaluation fondée sur un examen clinique ou au besoin radiologique, de provoquer avec une grande probabilité de tels dommages et qu'à défaut d'intervention il en résulterait une atteinte au système de la mastication. A titre d'exemples de dommages importants aux dents avoisinantes, à l'os maxillaire ou aux tissus mous avoisinants, les experts mentionnent l'abcès, le kyste, pour autant qu'ils ne soient pas causés par des caries ou une parodontite évitables, la résorption ou le refoulement de dents avoisinantes, des poches de parodontose déjà constituées auprès de dents avoisinantes, une péricoronarite chronique-récidivante (formation débutante d'un abcès) auprès de dents de sagesse, de même que des dents incluses en contact avec la cavité buccale, qui constituent un facteur de risque d'abcès résultant de caries inévitables (ATF 127 V 391 consid. 3c). Le Tribunal fédéral des assurances a considéré, en se ralliant au point de vue des experts, qu'il convenait de reconnaître un caractère de maladie au sens de l'art. 17 let. a ch. 2 OPAS aux entraves à un développement ordonné de la dentition ou à un phénomène pathologique, pour ce qui est de la dentition en développement, et à un phénomène pathologique, pour ce qui est de la dentition définitive. Le phénomène pathologique doit provoquer des dommages importants aux dents avoisinantes ou, sous certaines conditions, représenter un risque imminent d'un tel dommage. En conséquence, le caractère de maladie doit d'emblée être nié lorsqu'on est uniquement en présence d'une dislocation dentaire, de dents ou germes dentaires surnuméraires, par exemple quand l'écart par rapport à la position et à l'axe normaux dépasse une valeur minimale (ATF 127 V 336 consid. 7a). En outre, ainsi qu'on l'a vu, l'obligation de prise en charge par l'assurance-maladie suppose ici une atteinte qualifiée à la santé: toute affection provoquée par une dislocation dentaire,</w:t>
      </w:r>
    </w:p>
    <w:p>
      <w:r>
        <w:t>A/916/2016 - 12/16 - des dents ou germes dentaires surnuméraires, ne justifie donc pas que des mesures diagnostiques ou thérapeutiques soient prises en charge par l'assurance-maladie (ATF 127 V 391 consid. 4).</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(ATF 125 V 256 consid. 4 et les références).</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A/916/2016 - 13/16 -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l’occurrence, l'intimée a refusé la prise en charge de l'extraction de la dent n°13, ce que la recourante conteste en se fondant sur l'avis de son chirurgien traitant, le Dr B______. On rappellera que les juges fédéraux ont retenu qu'il y a lieu de qualifier de maladies graves, c’est-à-dire celles qui revêtent le caractère de maladie au sens de l’art. 17 let. a ch. 2 OPAS, un phénomène pathologique qui est en relation avec une</w:t>
      </w:r>
    </w:p>
    <w:p>
      <w:r>
        <w:t>A/916/2016 - 14/16 - dislocation dentaire et qui provoque des dommages importants aux dents avoisinantes. En l'espèce, aucun chirurgien ne conteste que la recourante présentait une dislocation dentaire, dans le sens où sa dent n°13 définitive était incluse et en mauvaise position (rapport du Dr D______ du 27 janvier 2016, avis du Dr C______ du 18 octobre 2015, rapport du Dr B______ du 14 juillet 2016, procès-verbal d'audition des Drs C______ et B______). A cet égard, le Dr D______ a expliqué notamment que la dent n°13 était située en région palatine directement contre la racine de la dent n°11 (cf. la traduction libre en français établie par l'intimée, décision litigieuse, consid. 9). Par ailleurs, aucun médecin-conseil de l'intimée ne conteste que la dent n°13 de la recourante avait résorbé en partie sa dent n°11. Ainsi, dans son rapport du 27 janvier 2016, le Dr D______ a indiqué que la résorption de la racine de la dent n°11 avait été causée par la dent n°13 et qu'il s'agissait d'une pathologie (cf. traduction libre en français établie par l'intimée, décision litigieuse, consid. 9). Le Dr C______ a également expliqué, par-devant la chambre de céans, que la racine de la dent n°11 avait été partiellement résorbée par la dent n°13 (procès- verbal d'audition p. 3). En outre, le Dr F______ a aussi confirmé que la recourante présentait une résorption de la racine de la dent n°11 due à la dent n°13 (rapport du 21 septembre 2016), corroborant ainsi l’avis du Dr B______. Force est donc d’admettre qu’il est établi que la recourante présentait une dislocation dentaire provoquant la résorption d'une dent avoisinante. Or, la résorption d’une dent provoquée par une dislocation dentaire est considérée, par les experts mandatés par le Tribunal fédéral des assurances, comme étant un phénomène pathologique provoquant un dommage important (ATF 127 V 391 consid. 3c/bb). Le Dr C______ est certes d'avis que la résorption dentaire présentée par la recourante n’a pas valeur de maladie étant donné qu’elle n'était que modérée et qu'elle avait été découverte de manière fortuite. La chambre de céans relèvera que dans la mesure où les experts mandatés par le Tribunal fédéral des assurances ont retenu que toute résorption des dents avoisinantes doit être considérée comme un dommage important auxdites dents - sans distinguer son degré de gravité, ni la manière dont elle a été découverte - les arguments du Dr C______ manquent de pertinence. Le Dr D______ est également d'avis qu'il était improbable que la résorption de la racine de la dent n°11 ait continué étant donné qu'elle avait été causée il y a plus de dix ans. Or, comme le Dr B______ l'a expliqué de manière convaincante, il ne s'agit que d'une supposition étant donné qu'il n'existe pas de document ancien de dix ans permettant de prouver que la résorption existerait depuis lors, que cet état est stable et qu'il n'a aucune chance de se modifier (rapport du 14 juillet 2016). En outre, selon le Dr F______, il semblait possible, au vu des clichés du 13 février 2015,</w:t>
      </w:r>
    </w:p>
    <w:p>
      <w:r>
        <w:t>A/916/2016 - 15/16 - qu'une atteinte du canal pulpaire de la dent n° 11 puisse survenir par la suite, sans qu'il soit toutefois possible de le prévoir (rapport du 21 septembre 2016). La chambre de céans ajoutera encore, qu’au demeurant, il n'est pas nécessaire, vu les conditions jurisprudentielles posées pour retenir la présence d’un phénomène pathologique, de démontrer qu’un dommage plus important risquerait de se produire. Compte tenu de ce qui précède, il y a lieu de retenir que la recourante présentait un phénomène pathologique en relation avec une dislocation dentaire (dent n°13), qui a provoqué un dommage important à une dent avoisinante, soit la résorption de la dent n°11, et dont il n'est, par ailleurs, pas contesté qu'il ne pouvait être combattu par des mesures prophylactiques. La recourante présentait donc une maladie grave et non évitable du système de la mastication au sens de l'art. 17 let. a ch. 2 OPAS. Etant donné que les pièces versées au dossier permettent de statuer en pleine connaissance de cause sur le présent litige, la mise en œuvre d'une expertise s'avère superflue par appréciation anticipée des preuves. Aussi, la conclusion préalable de la recourante est-elle rejetée. Partant, c’est à tort que l'intimée a refusé la prise en charge des frais de l'extraction de la dent n° 13 de la recourante.</w:t>
      </w:r>
    </w:p>
    <w:p>
      <w:r>
        <w:rPr>
          <w:b/>
        </w:rPr>
        <w:t>E. 14</w:t>
      </w:r>
    </w:p>
    <w:p>
      <w:r>
        <w:t>Bien fondé, le recours sera admis en tant qu’il est recevable. La décision litigieuse du 23 février 2016 sera annulée, l'intimée étant condamnée à prendre en charge les frais de l'extraction de la dent n°13 et la cause renvoyée à l'intimée pour qu'elle statue sur la prise en charge de l'implant n°13.</w:t>
      </w:r>
    </w:p>
    <w:p>
      <w:r>
        <w:rPr>
          <w:b/>
        </w:rPr>
        <w:t>E. 15</w:t>
      </w:r>
    </w:p>
    <w:p>
      <w:r>
        <w:t>La recourante, représentée par son conseil et obtenant gain de cause, une indemnité de CHF 3'500.- lui sera accordée à titre de participation à ses frais et dépens (art. 61 let. g LPGA; art. 89 H de la loi sur la procédure administrative du 12 septembre 1985 [LPA – E 5 10]; art. 6 du règlement sur les frais, émoluments et indemnités en matière administrative du 30 juillet 1986 [RFPA – E 5 10.03]).</w:t>
      </w:r>
    </w:p>
    <w:p>
      <w:r>
        <w:rPr>
          <w:b/>
        </w:rPr>
        <w:t>E. 16</w:t>
      </w:r>
    </w:p>
    <w:p>
      <w:r>
        <w:t>Pour le surplus, la procédure est gratuite (art. 89H al. 1 LPA).</w:t>
      </w:r>
    </w:p>
    <w:p>
      <w:r>
        <w:t>A/916/2016 - 16/16 -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