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ATAS/602/2016 vom 27. Juli 2016</w:t>
      </w:r>
    </w:p>
    <w:p>
      <w:r>
        <w:t>GE Cour de justice, 2016-07-27, FR</w:t>
      </w:r>
    </w:p>
    <w:p>
      <w:r>
        <w:rPr>
          <w:b/>
        </w:rPr>
        <w:t xml:space="preserve">Quelle: </w:t>
      </w:r>
      <w:r>
        <w:t>https://mcp.opencaselaw.ch/entscheid/ge_gerichte_ATAS_602_2016</w:t>
      </w:r>
    </w:p>
    <w:p>
      <w:r>
        <w:t>FR: GE_GERICHTE ATAS/602/2016 du 27 juillet 2016</w:t>
      </w:r>
    </w:p>
    <w:p>
      <w:r>
        <w:t>IT: GE_GERICHTE ATAS/602/2016 del 27 luglio 2016</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w:t>
      </w:r>
    </w:p>
    <w:p>
      <w:r>
        <w:t>A/3917/2015 - 7/15 -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LAI du 6 octobre 2006 (5ème révision) et du 18 mars 2011 (révision 6a), entrées en vigueur le 1er janvier 2008 et le 1er janvier 2012, entraînent la modification de nombreuses dispositions légales dans le domaine de l'assurance- 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litigieuse, le droit éventuel aux prestations doit être examiné en fonction des modifications de la LAI (5ème révisions et révision 6a), entrées en vigueur les 1er janvier 2008 et 1er janvier 2012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 4. Le délai de recours est de 30 jours et court dès le jour suivant la notification de la décision (art. 60 al. 1 LPGA). En l’occurrence, la décision litigieuse a été reçue par la recourante le 9 octobre 2015 ; le délai de recours, qui a commencé à courir le 10 octobre 2015, arrivé à échéance le dimanche 8 novembre 2015, est reporté au premier jour ouvrable utile, soit le lundi 9 novembre 2015 (art. 38 al. 3 LPGA). Interjeté le 9 novembre 2015 dans la forme prescrite, le recours est recevable (cf.; art. 89B de la loi sur la procédure administrative du 12 septembre 1985 - LPA-GE - E 5 10). 5. Le litige porte sur le droit de la recourante à des prestations de l’assurance- invalidité, singulièrement sur son degré d’invalidité.</w:t>
      </w:r>
    </w:p>
    <w:p>
      <w:r>
        <w:t>A/3917/2015 - 8/15 - 6. a. Préalablement, la recourante invoque une violation de son droit d’être entendu, en ce sens que l'intimé, suite au projet de décision, a refusé de lui octroyer un délai supplémentaire pour produire un nouveau rapport médical, motif pris que le délai de 30 jours de l'art. 73 ter al. 1 du règlement du 17 janvier 1961 sur l’assurance- invalidité, du 17 janvier 1961 (RAI ; RS 831.201) ne peut être prolongé. L’intimé conteste avoir commis une violation du droit d’être entendu, dès lors que la recourante a eu l’occasion de demander à consulter son dossier bien avant que le délai ne soit échu, qu’elle a eu l’occasion de consulter les pièces et de se déterminer à leur sujet. Quoi qu’il en soit, le vice a été réparé lors de la présente procédure de recours, au vu du pouvoir d’appréciation dont dispose la chambre de céans. 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Le Tribunal fédéral a jusqu’ici laissé ouverte la question de savoir si le délai de l’art. 73ter al. 1 RAI peut être prolongé et implicitement s’il s’agit d’un délai légal ou d’un délai d’ordre (cf. ATF non publiés 9C_480/08 du 27 janvier 2009, consid. 3 et 9C_50/2008 du 8 septembre 2008, consid. 2). Il a toutefois exposé que la procédure de préavis a pour but de permettre une discussion informelle des faits et d'améliorer ainsi l'acceptation de la décision par l'assuré (ATF 134 V 97 consid. 2.7). La procédure de préavis va plus loin que le droit constitutionnel minimal d'être entendu, dès lors que l'assuré obtient le droit de prendre position non seulement au sujet de sa requête, mais également sur la décision prévue (ATF 137 V consid. 2.8.2 p. 107). Notre Haute Cour a également précisé que les objections formées dans le cadre de la procédure de préavis ne constituent pas des moyens de droit. Elles représentent plutôt l'exercice du droit d'être entendu (ATF 9C_176/2010 du 4 mai 2010 consid. 1). Dans un arrêt de principe du 24 juin 2010 (ATAS/705/2010), entré en force, la chambre de céans a jugé que le délai de 30 jours de l’art. 73ter al. 1 RAI est un</w:t>
      </w:r>
    </w:p>
    <w:p>
      <w:r>
        <w:t>A/3917/2015 - 9/15 - délai d’ordre, susceptible d’être prolongé et que le refus de cette prolongation doit être considéré comme une violation du droit d'être entendu. c. En l’occurrence, la chambre de céans constate que le projet de décision daté du</w:t>
      </w:r>
    </w:p>
    <w:p>
      <w:r>
        <w:rPr>
          <w:b/>
        </w:rPr>
        <w:t>E. 28</w:t>
      </w:r>
    </w:p>
    <w:p>
      <w:r>
        <w:t>août 2015 a été notifié à l’assurée sous pli simple et reçu par celle-ci à une date que l’on ignore. Par courrier recommandé du 30 septembre 2015, l’assurée a demandé à l’intimé de lui transmettre son dossier et de prolonger le délai jusqu’au 20 octobre 2015 pour compléter ses motifs et produire cas échéant de nouvelles pièces, après avoir pu consulter les pièces de son dossier. L’intimé a communiqué le CD-ROM par courrier recommandé du 2 octobre 2015, alors que le mot de passe permettant de lire le compact disque l’a été le 6 octobre 2010, par courrier A, et reçu par l’assurée le 7 octobre 2015 au plus tôt. Or, l’intimé a rendu sa décision précisément le 7 octobre 2015. Il s’ensuit que contrairement à ce que soutient l’intimé, la recourante n’a pas pu prendre connaissance de son dossier, ni s’exprimer dans le cadre de la procédure d’audition. Quoi qu’il en soit, en refusant de prolonger le délai d’ordre de l’art. 73ter al. 1 RAI, l’intimé a commis une violation du droit d’être entendu de la recourante, ce qui justifie en principe l’annulation de la décision pour ce motif déjà. Pour le surplus, la question de savoir si le vice a été réparé dans le cadre de la présente procédure peut demeurer ouverte, pour les motifs exposés ci-après.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 teneur de l’art. 28 al. 2 LAI, l’assuré a droit à une rente entière s’il est invalide à 70% au moins, à un trois-quarts de rente s'il est invalide à 60% au moins, à une demi-rente s’il est invalide à 50% au moins, ou à un quart de rente s’il est invalide à 40% au moins. En vertu des articles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A/3917/2015 - 10/15 -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(depuis le 1er janvier 2008 :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p. 313 et les références). b. Si l'on ne peut déterminer ou évaluer sûrement les deux revenus en cause, il faut, en s'inspirant de la méthode spécifique pour personnes sans activité lucrative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w:t>
      </w:r>
    </w:p>
    <w:p>
      <w:r>
        <w:t>A/3917/2015 - 11/15 -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spéc. p. 31 in fine).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 Il convient par ailleurs de rappeler que selon la jurisprudence, dans le cas d'un assuré de condition indépendante, on peut exiger, pour autant que la taille et l'organisation de son entreprise le permettent, qu'il réorganise son emploi du temps au sein de celle-ci en fonction de ses aptitudes résiduelles (arrêt 9C_236/2009 du 7 octobre 2009 consid. 4.2, in SVR 2010 IV n° 11 p. 35).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 9. Selon la circulaire sur l’invalidité et l’impotence de l’assurance-invalidité (CIIAI), pour évaluer le revenu sans invalidité d'un indépendant, on examine le développement probable qu’aurait suivi l’entreprise de l’assuré si celui-ci n’était pas devenue invalide (RCC 1963 p. 427; ch. 3029) On prend notamment en considération les aptitudes professionnelles et personnelles de l’assuré, la nature de</w:t>
      </w:r>
    </w:p>
    <w:p>
      <w:r>
        <w:t>A/3917/2015 - 12/15 -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ch. 3030). On fait abstraction du revenu qui ne proviendrait pas de l’activité propre de la personne handicapée (intérêt du capital engagé dans l’entreprise, part du revenu attribuable à la collaboration des proches [ch. 3033], etc.; RCC 1962 p. 481;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ch. 3032.1). 10. En l’espèce, il n’est pas contesté que la recourante a subi une incapacité de travail totale depuis le 22 février 2014, date de la découverte de sa pathologie. Selon le rapport de la Dresse E_____, de l’unité d’onco-gynécologie des HUG, daté du 27 octobre 2014, la recourante a subi une tumorectomie 10 mars 2014 (le rapport opératoire ne figure pas au dossier), puis une radiothérapie adjuvante, avec complication de douleur à l’épaule gauche et paresthésie ayant nécessité un traitement par Tramal et une physiothérapie intensive. Elle a repris ensuite progressivement son activité indépendante, à 20 % dès le 10 avril 2014, puis à 40% dès le 30 juin 2014 et à 50% depuis le 1er février 2015. Enfin, postérieurement à la décision litigieuse, une reprise de travail à 100 % dès le 12 décembre 2015 a été attestée par le Dr G_____, étant relevé qu’une opération de l’épaule était prévue en février 2016. Selon l’avis du SMR d’août 2015, la capacité de travail de la recourante est de 50% dans l’activité habituelle et de 100% dans une activité adaptée respectant les limitations fonctionnelles depuis le 17 mars 2015. La chambre de céans relève à cet égard que dans son rapport du 17 mars 2015, la Dresse F_____, du centre de soins de la maternité des HUG, note la persistance de douleurs de l’épaule gauche et atteste que la capacité de travail dans l’activité habituelle est de 50%. Elle indique que dans une autre activité adaptée la capacité</w:t>
      </w:r>
    </w:p>
    <w:p>
      <w:r>
        <w:t>A/3917/2015 - 13/15 - de travail est de 100 %, ajoutant « à évaluer », et ne précise de quel type d’activité il s’agit. En revanche, le Dr G_____, qui suit précisément la recourante pour le problème de l’épaule, indique que la capacité de travail est de 50%, aussi bien dans une activité adaptée que dans l’activité habituelle (cf. rapport du 10 mai 2015). Tant que les douleurs persistent, elle ne peut travailler plus que 50% de son temps habituel (cf. courrier du Dr K______ du 5 novembre 2015, pièce n° 13 recourante). De même, pour le Dr D_____, la capacité de travail de la recourante est de 50% ; il estime qu’elle ne peut pas évoluer, mais renvoie au Dr G_____, orthopédiste. Pour le surplus, il n’est pas d’accord avec l’exigibilité de 100 % dans une activité adaptée retenue par le SMR (cf. courrier du Dr D_____ du 17 octobre 2015, pièce n° 11 recourante). Selon l’intimé, le Dr D_____ n’indique pas pour quelle raison il ne partage pas l’avis du SMR. La chambre de céans relève que le SMR ne motive pas non plus l’exigibilité de 100%. Il semble s’être fondé sur la seule indication de la Dresse F_____, qui n’est d’ailleurs pas si précise, dans la mesure où il apparaît qu’aussi bien l’activité adaptée que le taux d’activité devaient être évalués. Au vu de ce qui précède, la chambre de céans constate que de l’avis quasi unanime des médecins ayant examiné la recourante, sa capacité de travail est, au moment de la décision litigieuse, de 50 %, aussi bien dans l’activité habituelle que dans une activité adaptée. 11. Reste à déterminer quelles sont les répercussions de l’atteinte à la santé de la recourante sur sa capacité de gain. En premier lieu, la chambre de céans relève que l’intimé n’a pas demandé les comptes de l’entreprise de la recourante pour l’année 2014, année de l’atteinte à la santé, ni procédé à une enquête afin d’examiner l’évolution de l’entreprise et l’impact de l’atteinte à la santé sur les résultats de son entreprise. Il ressort pourtant des pièces du dossier que la recourante a dû s’organiser, en accomplissant des tâches plus légères, et engager du personnel pour l’aider. L’intimé a procédé selon la méthode générale de comparaison des gains, retenant un gain sans invalidité pour l’année 2014 fondé sur la moyenne des revenus 2012 et 2013 ressortant de l’extrait des CI. Ensuite, pour le revenu d’invalide, l’intimé, se fondant sur une capacité de travail de 100 % dans une activité adaptée, a pris en compte un revenu d’invalide de CHF 52'282.- en 2014, correspondant aux tables de l’Enquête suisse sur la structure des salaires (ESS, TA1), sans autre motivation. Or, d’une part, l’activité habituelle est encore exigible et, d’autre part, il convenait d’examiner quelles ont été les conséquences de l’atteinte à la santé sur la capacité de gain, donc sur les résultats de l’entreprise de la recourante. Enfin et surtout, l’intimé ne s’est pas prononcé au préalable sur l'exigibilité d'un changement de profession de la part de l'assurée. Il lui incombait à cet égard, au</w:t>
      </w:r>
    </w:p>
    <w:p>
      <w:r>
        <w:t>A/3917/2015 - 14/15 - lieu d'admettre un changement professionnel de la recourante sans aucune explication, d'examiner au regard de l'ensemble des circonstances objectives et subjectives du cas concret si une telle mesure pouvait être exigée d’elle. Parmi d'autres circonstances, il lui appartenait d'examiner si l'activité exercée par la recourante au sein de son entreprise après la survenance de l'atteinte à la santé mettait pleinement en valeur sa capacité de travail résiduelle. Ce n'est que si tel n'est pas le cas que l'assuré de condition indépendante peut être tenu, en fonction des circonstances, de mettre fin à son activité indépendante au profit d'une activité salariée plus lucrative (cf. arrêt 8C_748/2008 du 10 juin 2009 consid. 4.2 ; voir également arrêt 9C_106/2011 du 14 octobre 2011). Un tel examen fait défaut dans la décision de l’intimé qui a simplement retenu, sans aucune analyse des circonstances (dont les effets concrets de l'atteinte sur sa capacité de travail) l'exigibilité de l'exercice d'une activité salariée. Il lui appartenait notamment d’examiner si la méthode extraordinaire d’évaluation de l’invalidité devait être ou non appliquée. Au vu de ce qui précède, la décision sera annulée et la cause renvoyée à l’intimé pour instruction complémentaire et nouvelle décision. 12. Le recours est partiellement admis. 13. La recourante, représentée par un mandataire, a droit à une indemnité à titre de participation à ses frais et dépens, que la chambre de céans fixe en l’occurrence à CHF 1’500- (art. 61 let. g LPGA ; art. 6 du règlement sur les frais, émoluments et indemnités en procédure administrative du 30 juillet 1986 - RFPA - E 5 10.03). 14. Au vu de l’issue du litige, un émolument de CHF 500.- est mis à la charge de l’intimé (art. 69 al. 1bis LAI).</w:t>
      </w:r>
    </w:p>
    <w:p>
      <w:r>
        <w:t>A/3917/2015 - 15/15 -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