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ATAS/602/2012 vom 8. Mai 2012</w:t>
      </w:r>
    </w:p>
    <w:p>
      <w:r>
        <w:t>GE Cour de justice, 2012-05-08, FR</w:t>
      </w:r>
    </w:p>
    <w:p>
      <w:r>
        <w:rPr>
          <w:b/>
        </w:rPr>
        <w:t xml:space="preserve">Quelle: </w:t>
      </w:r>
      <w:r>
        <w:t>https://mcp.opencaselaw.ch/entscheid/ge_gerichte_ATAS_602_2012</w:t>
      </w:r>
    </w:p>
    <w:p>
      <w:r>
        <w:t>FR: GE_GERICHTE ATAS/602/2012 du 8 mai 2012</w:t>
      </w:r>
    </w:p>
    <w:p>
      <w:r>
        <w:t>IT: GE_GERICHTE ATAS/602/2012 del 8 maggio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Les modifications de la loi fédérale sur l'assurance-invalidité du 21 mars 2003 (4ème révision), du 6 octobre 2006 (5ème révision) entrées en vigueur le 1er janvier 2004 et le 1er janvier 2008, entraînent la modification de nombreuses dispositions légales dans le domaine de l'assurance-invalidité, qui sont applicables au cas d'espèce, la demande de révision datant du 5 novembre 2008.</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l'aggravation de l'état de santé de l'assurée depuis la décision du 22 janvier 2007, singulièrement sur ses empêchement d'effectuer les tâches ménagères.</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A/2694/2011 - 18/25 - diminution résulte d'une atteinte à la santé physique ou mentale et qu'elle persiste après les traitements et les mesures de réadaptation exigibles. (art. 7 LPGA). (al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b)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7</w:t>
      </w:r>
    </w:p>
    <w:p>
      <w:r>
        <w:t>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t>A/2694/2011 - 19/25 - b)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w:t>
      </w:r>
    </w:p>
    <w:p>
      <w:r>
        <w:rPr>
          <w:b/>
        </w:rPr>
        <w:t>E. 8</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w:t>
      </w:r>
    </w:p>
    <w:p>
      <w:r>
        <w:t>A/2694/2011 - 20/25 -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c)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A/2694/2011 - 21/25 -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l'autre de ces avis et il y a lieu de mettre en œuvre une expertise par un médecin indépendant selon la procédure de l'article 44 LPGA ou une expertise judiciaire (ATF 135 V 465). Selon une récente jurisprudence du Tribunal fédéral (ATF 135 V 210), le Tribunal doit ordonner une expertise judiciaire lorsque les conclusions des experts mandatés par l'administration sont sérieusement remises en cause.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10</w:t>
      </w:r>
    </w:p>
    <w:p>
      <w:r>
        <w:t>En l'espèce, lors de la décision initiale d'octroi de rente, à défaut de pouvoir établir précisément le revenu de l'assurée avant et après l'atteinte à la santé en tant que maman de jour, dans le but de fixer le taux d'invalidité dans la sphère professionnelle, l'OAI a décidé de tenir compte de cette activité professionnelle à 50% à titre "d'activités diverses" prévue par la dernière rubrique de l'enquête ménagère. Afin de procéder à un examen fiable de l'évolution de l'invalidité, il convient de faire de même, dérogeant ainsi aux principes en matière de méthode mixte. S'agissant de l'aggravation de l'état de santé de l'assurée, il convient de rappeler qu'avant la décision initiale, les seules atteintes à la santé ayant des répercussions</w:t>
      </w:r>
    </w:p>
    <w:p>
      <w:r>
        <w:t>A/2694/2011 - 22/25 - sur la capacité ménagère et de travail selon le SMR étaient un léger syndrome lombo-vertébral avec sciatalgies bilatérales non déficitaires dans le cadre d'un trouble statique et dégénératif, un status post-pose d'une prothèse discale L3-L4 et L5-S1 en 2003 et une disbalance musculaire. C'est sur cette base que la capacité ménagère et professionnelle de l'assurée a été déterminée. Les divers rapports médicaux produits attestent de l'apparition de plusieurs troubles supplémentaires, Une cervico-discarthrose C6-C7 à prédominance droite a été opérée en avril 2007 dont l'évolution est marquée par la persistance de douleurs. La patiente a présenté une recrudescence des troubles urinaires malgré une opération en 2007. Elle a présenté une gêne progressive du membre inférieur droit avec irradiations dans la jambe éventuellement consécutive à l'opération du hallus-valgus en 2009. Elle a présenté une tendinopathie calcifiante des sus-épineux selon l'IRM de mai 2010. Les documents mentionnant ce qui précède étaient en main du SMR lors de la décision litigeuse. Les explications du Dr B___________, qui a l'avantage d'avoir une vision d'ensemble et sur une longue durée de l'état de santé de sa patiente et malgré la divergence consacrée par la jurisprudence entre un mandat de soins et un mandat d'expertise, sont convaincantes : prises séparément, les pathologies cardiaques et urinaires sont sans répercussion durable sur la capacité ménagère de l'assurée, mais ces pathologies, ajoutés aux troubles principaux, aggravent ponctuellement le tableau (fatigue, fièvre, convalescence, nécessité de s'allonger, etc.). Il est ainsi établi au degré de la vraisemblance prépondérante que l'état de santé de l'assurée s'est aggravé depuis début 2007. Contrairement à ce que soutient le SMR, cette aggravation ressortait des pièces produites et elle était clairement mentionnée par le Dr B___________, dont l'avis de médecin traitant ne peut être simplement ignoré. Il est par contre vrai que les rapports de Dr J___________ et C___________ datant de 2009 et 2010 ne permettaient pas de déceler cette aggravation. Le Dr H___________ du SMR s'est fondé sur un seul rapport pour estimer qu'il n'y avait pas d'aggravation. Il a ensuite motivé cet avis sur un examen erroné du rapport d'enquête des HUG sans réaliser qu'il ne tenait pas compte de l'activité de maman de jour et tout en admettant qu'il n'avait pas saisi celui fait en 2006. Il a finalement indiqué que l'âge et la multiplication des interventions implique qu'il n'y a pas d'amélioration, alors que peu importe l'étiologie de l'aggravation. En application de la jurisprudence, l'OAI devait donc ordonner soit un examen soit une expertise multidisciplinaire. De plus, le témoignage de la fille de l'assurée et des deux médecins traitants, qui estiment la patiente parfaitement fiable dans ses plaintes, montre que celle-ci a dû abandonner progressivement toute activité de maman de jour dès 2009, y compris avec de grands enfants, ce qui justifie en soi une augmentation du taux d'invalidité de 10%. De même, l'exigibilité des membres de la famille est une composante de</w:t>
      </w:r>
    </w:p>
    <w:p>
      <w:r>
        <w:t>A/2694/2011 - 23/25 - l'évolution du taux d'invalidité qui doit être prise en compte lors d'une révision, même en l'absence d'aggravation de l'état de santé. Pour l'ensemble des ces motifs, la décision de refus d'augmenter la rente d'invalidité au motif qu'aucune aggravation de l'état de santé n'est constatée, est mal fondée. Cela étant, si l'augmentation des limitations fonctionnelles semble très probable, les limitations précises de l'assurée n'ont pas été établies médicalement. A cela s'ajoute le fait que l'assurée présente de nouvelles affections postérieures à la décision, qui ont donné lieu à diverses interventions. Bien que la récente jurisprudence du Tribunal fédéral commande à la juridiction cantonale d'ordonner une expertise judiciaire, ce principe souffre des exceptions. D'une part, s'il s'avère que l'administration n'a pas procédé aux mesures d'instruction requises sur la base des éléments du dossier, car l'expertise judiciaire ne doit pas être un "oreiller de paresse". D'autre part, s'il convient de renvoyer la cause à l'administration pour procéder également à d'autres actes d'instruction, que l'administration est mieux à même d'effectuer. Or, tel est le cas en l'espèce. En effet, si la Cour ordonnait une expertise, qui retiendrait par hypothèses de nouvelles limitations, qui confirmeraient alors selon toute vraisemblance le bien fondé de l'enquête ménagère des HUG, dont la qualité et, partant la valeur probante, sont en l'espèce équivalentes à une enquête de l'OAI, il conviendrait dans tous les cas de renvoyer la cause à l'OAI pour qu'elle détermine quelle est l'exigibilité des autres membres de la famille, eu égard aux modifications successives de la composition du groupe familial et des occupations de ses membres. Compte tenu de ce qui précède, la cause sera renvoyée à l'OAI pour une instruction médicale complémentaire, sous la forme d'un examen complet pluridisciplinaire ou d'une expertise neutre, le cas échéant à la CRR, permettant l'examen de l'assurée du point de vue ostéo-articulaire, interne, urologique et cardiologique, avec une appréciation de l'évolution dans le temps, y compris jusqu'en 2012, éventuellement lors d'un séjour permettant l'appréciation concrète de ses limitations. En second lieu, si l'examen ou l'expertise confirme l'aggravation et l'importance des limitations retenues par l'enquête des HUG, il ne sera pas nécessaire de refaire une telle enquête, mais uniquement de déterminer précisément la participation exigible des membres de la famille, étant précisé que le rapport de 2006 n'est absolument pas clair sur ce point et que la note de travail du 11 janvier 2011 ne tient pas compte des modifications successives de la structure familiale et, surtout, omet de tenir compte d'un statut mixte, 50% de l'activité ménagère étant dévolue en fait à une activité professionnelle de maman de jour qui n'était déjà plus totalement exigible en 2006. A cet égard, on relèvera que la fille aînée a quitté la maison en 2009, la cadette en été 2011 et que cette dernière semble à première vue avoir assumé des</w:t>
      </w:r>
    </w:p>
    <w:p>
      <w:r>
        <w:t>A/2694/2011 - 24/25 - tâches ménagères et de remplacement de sa mère dans son activité professionnelle excédant ce qui est admissible, mais qu'en contrepartie, le mari qui ne travaille plus depuis une date non déterminée, peut en conséquence participer aux taches de façon plus importante qu'en 2006, sans savoir s'il a ultérieurement repris une activité.</w:t>
      </w:r>
    </w:p>
    <w:p>
      <w:r>
        <w:rPr>
          <w:b/>
        </w:rPr>
        <w:t>E. 11</w:t>
      </w:r>
    </w:p>
    <w:p>
      <w:r>
        <w:t>Au vu de ce qui précède, le recours sera partiellement admis et la décision du 12 juillet 2011 sera annulée, la cause étant renvoyée à l'intimé pour une instruction complémentaire au sens des considérants. La recourante obtenant partiellement gain de cause, une indemnité de 2'500 fr. lui sera accordée à titre de participation à ses frais et dépens (art. 61 let. g LPGA), eu égard au nombre d'audiences et d'écritures. Etant donné que, depuis le 1er juillet 2006, la procédure n'est plus gratuite (art. 69 al. 1bis LAI), au vu du sort du recours, il y a lieu de condamner l'intimé au paiement d'un émolument de 500 fr.</w:t>
      </w:r>
    </w:p>
    <w:p>
      <w:r>
        <w:t>A/2694/2011 - 25/25 -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