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ATAS/601/2009 vom 19. Mai 2009</w:t>
      </w:r>
    </w:p>
    <w:p>
      <w:r>
        <w:t>GE Cour de justice, 2009-05-19, FR</w:t>
      </w:r>
    </w:p>
    <w:p>
      <w:r>
        <w:rPr>
          <w:b/>
        </w:rPr>
        <w:t xml:space="preserve">Quelle: </w:t>
      </w:r>
      <w:r>
        <w:t>https://mcp.opencaselaw.ch/entscheid/ge_gerichte_ATAS_601_2009</w:t>
      </w:r>
    </w:p>
    <w:p>
      <w:r>
        <w:t>FR: GE_GERICHTE ATAS/601/2009 du 19 mai 2009</w:t>
      </w:r>
    </w:p>
    <w:p>
      <w:r>
        <w:t>IT: GE_GERICHTE ATAS/601/2009 del 19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l'assurée à une rente d'invalidité.</w:t>
      </w:r>
    </w:p>
    <w:p>
      <w:r>
        <w:rPr>
          <w:b/>
        </w:rPr>
        <w:t>E. 5</w:t>
      </w:r>
    </w:p>
    <w:p>
      <w:r>
        <w:t>L'assurée a formellement requis du Tribunal de céans qu'il déclare les observations de l'OCAI du 22 janvier 2009 irrecevables et les écarte du dossier, car produites en dehors du délai imparti au 12 janvier 2009. A teneur de l'art. 52 al. 1 LPGA, les décisions peuvent être attaquées dans les trente jours par voie d'opposition auprès de l'assureur qui les a rendues, à l'exception des décisions d'ordonnancement de la procédure. Ce délai d'ordre ne peut être prolongé en application de l'art. 40 al.1 LPGA. L'art. 16 al. LPA précise que "le délai imparti par l’autorité peut être prolongé pour des motifs fondés si la partie en fait la demande avant son expiration" En l'espèce, le Tribunal de céans avait demandé à l'OCAI de lui adresser son dossier et sa réponse dans un délai fixé au 12 janvier 2009. L'OCAI n'a pas respecté ce délai puisqu'il ne s'est manifesté qu'un dizaine de jours plus tard, soit le 22 janvier 2009. A la différence d'un délai légal, le délai imparti par une autorité peut être prolongé si la partie concernée en fait la demande avant l'expiration. Tel n'a pas été le cas en l'occurrence. Le Tribunal de céans a même adressé un rappel à l'OCAI afin d'obtenir le dossier AI. Il ne se justifie toutefois pas de déclarer les écritures de l'OCAI du 22 janvier 2009 irrecevables et de les écarter du dossier pour autant, dans la mesure où la violation du délai imparti demeure sans conséquence sur l'issue du litige (ATF du 14 janvier 2004, P.49/03).</w:t>
      </w:r>
    </w:p>
    <w:p>
      <w:r>
        <w:rPr>
          <w:b/>
        </w:rPr>
        <w:t>E. 5.3</w:t>
      </w:r>
    </w:p>
    <w:p>
      <w:r>
        <w:t>et consid. 6).</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w:t>
      </w:r>
    </w:p>
    <w:p>
      <w:r>
        <w:t>A/4304/2008 - 6/13 -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7</w:t>
      </w:r>
    </w:p>
    <w:p>
      <w:r>
        <w:t>Parmi les atteintes à la santé psychique, qui peuvent, comme les atteintes physiques, provoquer une invalidité au sens de l'art. 4 al. 1 LAI en liaison avec l'art.</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w:t>
      </w:r>
    </w:p>
    <w:p>
      <w:r>
        <w:t>A/4304/2008 - 7/13 -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A/4304/2008 - 8/13 -</w:t>
      </w:r>
    </w:p>
    <w:p>
      <w:r>
        <w:rPr>
          <w:b/>
        </w:rPr>
        <w:t>E. 9</w:t>
      </w:r>
    </w:p>
    <w:p>
      <w:r>
        <w:t>En l'espèce, l'OCAI s'est fondé sur les conclusions des Drs F________ et G________ ainsi que sur l'avis du Dr D________, selon lesquels la capacité de travail de l'assurée est entière quelle que soit l'activité envisagée.</w:t>
      </w:r>
    </w:p>
    <w:p>
      <w:r>
        <w:rPr>
          <w:b/>
        </w:rPr>
        <w:t>E. 10</w:t>
      </w:r>
    </w:p>
    <w:p>
      <w:r>
        <w:t>Le Tribunal de céans constate cependant que l'examen rhumatologique et psychiatrique réalisé par les Drs F________ et G________ remplit tous les réquisits de la jurisprudence permettant de lui attribuer pleine valeur probante. Les médecins ont expliqué en quoi consistaient les atteintes à la santé de l'assurée, leurs conclusions sont claires et bien motivées, de sorte que le Tribunal n'a a priori aucune raison de s'en écarter et dispose ainsi de suffisamment d’éléments pour statuer.</w:t>
      </w:r>
    </w:p>
    <w:p>
      <w:r>
        <w:rPr>
          <w:b/>
        </w:rPr>
        <w:t>E. 11</w:t>
      </w:r>
    </w:p>
    <w:p>
      <w:r>
        <w:t>Il s'agit à ce stade de déterminer si l'appréciation des médecins traitants est de nature à les mettre en doute. Ceux-ci ont principalement retenu les diagnostics de fibromyalgie, d'état dépressif et de migraines et ont considéré que la capacité de travail était nulle depuis février 2006 pour le Dr B_________, février 2007 pour le Dr A_________ et avril 2007 pour la Dresse C_________.</w:t>
      </w:r>
    </w:p>
    <w:p>
      <w:r>
        <w:rPr>
          <w:b/>
        </w:rPr>
        <w:t>E. 12</w:t>
      </w:r>
    </w:p>
    <w:p>
      <w:r>
        <w:t>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On ajoutera que dans un arrêt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Un rapport d'expertise attestant la présence d'une atteinte psychique ayant valeur de maladie - tels des troubles somatoformes douloureux - est une condition juridique</w:t>
      </w:r>
    </w:p>
    <w:p>
      <w:r>
        <w:t>A/4304/2008 - 9/13 -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w:t>
      </w:r>
    </w:p>
    <w:p>
      <w:r>
        <w:t>A/4304/2008 - 10/13 -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w:t>
      </w:r>
    </w:p>
    <w:p>
      <w:r>
        <w:rPr>
          <w:b/>
        </w:rPr>
        <w:t>E. 13</w:t>
      </w:r>
    </w:p>
    <w:p>
      <w:r>
        <w:t>S’agissant de la présence manifeste d’une comorbité psychiatrique d'une acuité et d'une durée importantes, le Dr B_________ a diagnostiqué un épisode dépressif moyen et le Dr G________ a considéré que la dépression chronique de l'humeur n'était pas même suffisamment importante pour dire qu'il y avait trouble dépressif récurrent léger. Ces médecins sont qualifiés pour se déterminer sur ce genre d’atteinte selon la jurisprudence ; il convient de se fonder sur leur appréciation et d’admettre en conséquence que ce critère jurisprudentiel n’est pas rempli. Pour le surplus, selon la doctrine médicale (cf. notamment Dilling/Mombour/Schmidt [Hrsg.], Internationale Klassifikation psychischer Störungen, ICD-10 Kapitel V [F], 4ème édition, p. 191) sur laquelle s'appuie le Tribunal fédéral des assurances, les états dépressifs constituent des manifestations (réactives) d'accompagnement des troubles somatoformes douloureux, de sorte qu'ils ne sauraient faire l'objet d'un diagnostic séparé (ATF 130 V 356 consid. 3.3.1 in fine; Meyer-Blaser, op. cit. p. 81, note 135).</w:t>
      </w:r>
    </w:p>
    <w:p>
      <w:r>
        <w:rPr>
          <w:b/>
        </w:rPr>
        <w:t>E. 14</w:t>
      </w:r>
    </w:p>
    <w:p>
      <w:r>
        <w:t>Se pose ainsi la question du cumul éventuel des autres critères établis par la jurisprudence. Il y a à cet égard lieu d’examiner si l’assurée en réunit plusieurs en sa personne de manière suffisamment marquée, ce qui fonderait un pronostic défavorable en ce qui concerne l’exigibilité d’une reprise d’activité professionnelle.</w:t>
      </w:r>
    </w:p>
    <w:p>
      <w:r>
        <w:t>A/4304/2008 - 11/13 - Le critère de la présence d’affections corporelles chroniques (1) apparaît comme réalisé au vu des cervico-dorso-lombalgies dont l’assurée souffre notamment depuis plusieurs années. Concernant la perte d’intégration sociale dans toutes les manifestations de la vie (2), le Dr G________ a noté que l’assurée avait conservé de nombreuses amitiés et relations solides. Aucune perte particulière d’intégration n’a par ailleurs été mentionnée par les médecins traitants. Ce critère n’est donc pas réalisé. S’agissant de l’état psychique de l’assurée, rien n’indique qu’il soit cristallisé (3). Bien au contraire, celle-ci a déclaré qu'elle avait constaté une nette amélioration de son état au cours de l'automne 2007 grâce au traitement du Dr B_________ (cf. rapport SMR du 1er juillet 2008). Enfin, rien n'indique non plus qu'il y ait eu échec des mesures de réhabilitation entreprises par l’assurée (4). En conclusion, il ressort de l’ensemble de ces éléments que l’assurée ne remplit pas les critères permettant de reconnaître la fibromyalgie dont elle souffre comme invalidante, en dépit de la présence d’affections corporelles chroniques. Il convient en conséquence d’admettre qu'elle est capable de travailler à plein temps dans une activité adaptée.</w:t>
      </w:r>
    </w:p>
    <w:p>
      <w:r>
        <w:rPr>
          <w:b/>
        </w:rPr>
        <w:t>E. 15</w:t>
      </w:r>
    </w:p>
    <w:p>
      <w:r>
        <w:t>L'assurée a expressément sollicité du Tribunal de céans qu'il ordonne une expertise afin de déterminer les conséquences de toutes les atteintes à la santé dont elle souffre sur sa capacité de travail. Il y a toutefois lieu de considérer que les pièces médicales versées au dossier permettent de statuer en pleine connaissance de cause sur le présent litige, si bien que la mise en œuvre d'expertises s'avère superflue par appréciation anticipée des preuves. Plus particulièrement les troubles cognitifs, les migraines et la périarthrite ont été examinés par les médecins du SMR.</w:t>
      </w:r>
    </w:p>
    <w:p>
      <w:r>
        <w:rPr>
          <w:b/>
        </w:rPr>
        <w:t>E. 16</w:t>
      </w:r>
    </w:p>
    <w:p>
      <w:r>
        <w:t>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Dans l’hypothèse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(ATF I 43/05).</w:t>
      </w:r>
    </w:p>
    <w:p>
      <w:r>
        <w:rPr>
          <w:b/>
        </w:rPr>
        <w:t>E. 17</w:t>
      </w:r>
    </w:p>
    <w:p>
      <w:r>
        <w:t>L'assurée a subsidiairement requis la prise en charge de mesures de réadaptation professionnelles et plus subsidiairement encore, d'une aide au placement.</w:t>
      </w:r>
    </w:p>
    <w:p>
      <w:r>
        <w:t>A/4304/2008 - 12/13 -</w:t>
      </w:r>
    </w:p>
    <w:p>
      <w:r>
        <w:rPr>
          <w:b/>
        </w:rPr>
        <w:t>E. 18</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est d’offrir une possibilité de gain à peu près équivalente à celle dont disposait la personne assurée sans invalidité (cf. VSI 2002 p. 109 consid. 2a ; RJJ 1998 p. 281 consid. 1b et les références).</w:t>
      </w:r>
    </w:p>
    <w:p>
      <w:r>
        <w:rPr>
          <w:b/>
        </w:rPr>
        <w:t>E. 19</w:t>
      </w:r>
    </w:p>
    <w:p>
      <w:r>
        <w:t>Il y a lieu de constater qu'en l'espèce, l'assurée, présentant un degré d'invalidité nul, ne peut pas prétendre à des mesures de réadaptation. C'est dès lors à bon droit que l'OCAI a nié le droit de l'assurée à de telles mesures. Seule une prestation de type aide au placement pourrait être envisagée. L'assurée demeure libre à cet égard de faire valoir son droit à une aide au placement si elle le souhaite.</w:t>
      </w:r>
    </w:p>
    <w:p>
      <w:r>
        <w:t>A/4304/2008 - 13/13 -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