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ATAS/600/2016 vom 27. Juli 2016</w:t>
      </w:r>
    </w:p>
    <w:p>
      <w:r>
        <w:t>GE Cour de justice, 2016-07-27, FR</w:t>
      </w:r>
    </w:p>
    <w:p>
      <w:r>
        <w:rPr>
          <w:b/>
        </w:rPr>
        <w:t xml:space="preserve">Quelle: </w:t>
      </w:r>
      <w:r>
        <w:t>https://mcp.opencaselaw.ch/entscheid/ge_gerichte_ATAS_600_2016</w:t>
      </w:r>
    </w:p>
    <w:p>
      <w:r>
        <w:t>FR: GE_GERICHTE ATAS/600/2016 du 27 juillet 2016</w:t>
      </w:r>
    </w:p>
    <w:p>
      <w:r>
        <w:t>IT: GE_GERICHTE ATAS/600/2016 del 27 luglio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w:t>
      </w:r>
    </w:p>
    <w:p>
      <w:r>
        <w:t>A/2120/2015 - 7/11 -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chambre de céans doit statuer sur la demande de récusation du Dr L______, expert désigné par elle dans la présente procédure, déposée par l’intimée.</w:t>
      </w:r>
    </w:p>
    <w:p>
      <w:r>
        <w:rPr>
          <w:b/>
        </w:rPr>
        <w:t>E. 3</w:t>
      </w:r>
    </w:p>
    <w:p>
      <w:r>
        <w:t>Selon l’art. 38 al. 1 de la loi sur la procédure administrative du 12 septembre 1985 (LPA-GE - E 5 10), lorsqu’une expertise est ordonnée, l’autorité nomme un ou des experts. Un délai est imparti aux parties pour proposer, s’il y a lieu, la récusation des experts (art. 39 al. 1 LPA). La décision sur récusation d’un membre d’une autorité collégiale est prise par cette autorité, en l’absence de ce membre (art. 15 al. 4 LPA). En l’espèce, la demande de récusation a été déposée dans le délai imparti, de sorte qu’elle est recevable.</w:t>
      </w:r>
    </w:p>
    <w:p>
      <w:r>
        <w:rPr>
          <w:b/>
        </w:rPr>
        <w:t>E. 4</w:t>
      </w:r>
    </w:p>
    <w:p>
      <w:r>
        <w:t>a) Les personnes appelées à rendre ou à préparer des décisions sur des droits ou des obligations doivent se récuser si elles ont un intérêt personnel dans l’affaire, si elles représentent un partie ou ont agi dans la même affaire pour une partie, ou encore si, pour d’autres raisons, elles semblent prévenues (cf. art. 36 al. 1 LPGA, art. 10 al. 1 let. a, c et d de la loi fédérale sur la procédure administrative du 20 décembre 1968, PA - RS 172.021). La récusation d'un expert judiciaire - qui ne fait pas partie du tribunal - s'examine au regard de l'art. 29 al. 1 de la Constitution fédérale de la Confédération suisse du 18 avril 1999 (Cst - RS 101) garantissant l'équité du procès (ATF 125 II 541 consid. 4a p. 544). Cette disposition assure au justiciable une protection équivalente à celle de l'art. 30 al. 1 Cst. s'agissant des exigences d'impartialité et d'indépendance requises d'un expert (ATF 127 I 196 consid. 2b p. 198). b) Le droit cantonal n’offre pas de garantie supplémentaire. En effet, en vertu de l'art. 39 al. 2 LPA, les causes de récusation prévues pour les membres des autorités administratives s'appliquent aux experts. L'art. 15 al. 2 LPA prévoit la récusation des membres des autorités administratives, notamment, s'ils représentent une partie ou ont agi pour une partie dans la même affaire (let. c) ou s'il existe des circonstances de nature à faire suspecter leur partialité (let. d). c)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(par exemple ses compétences professionnelles), ne mettent en</w:t>
      </w:r>
    </w:p>
    <w:p>
      <w:r>
        <w:t>A/2120/2015 - 8/11 - revanche pas en cause son impartialité. De tels motifs doivent en principe être examinés avec la décision sur le fond dans le cadre de l'appréciation des preuves (ATF 132 V 93 consid. 6.5 p. 108 ; voir aussi ATF 139 V 349, 138 V 271).</w:t>
      </w:r>
    </w:p>
    <w:p>
      <w:r>
        <w:rPr>
          <w:b/>
        </w:rPr>
        <w:t>E. 5</w:t>
      </w:r>
    </w:p>
    <w:p>
      <w:r>
        <w:t>Selon la jurisprudence relative aux art. 29 al. 1er, 30 al. 1er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w:t>
      </w:r>
    </w:p>
    <w:p>
      <w:r>
        <w:rPr>
          <w:b/>
        </w:rPr>
        <w:t>E. 6</w:t>
      </w:r>
    </w:p>
    <w:p>
      <w:r>
        <w:t>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125 II 541 consid. 4 p. 544). Le fait que l'expert a déjà eu à se prononcer au cours d'une procédure dans laquelle une des parties était impliquée n'exclut pas sa nomination en qualité d'expert (ATF 132 V 93 consid. 7.2.2 p. 110). La jurisprudence exige cependant que l'issue de la cause ne soit pas prédéterminée, mais qu'elle demeure au contraire indécise quant à la constatation des faits et à la résolution des questions juridiques (ATF 116 Ia 135 consid. 3b p. 139, 126 I 168 consid. 2a p. 169; Jacques Olivier PIGUET, Le choix de l'expert et sa récusation, HAVE/REAS</w:t>
      </w:r>
    </w:p>
    <w:p>
      <w:r>
        <w:t>A/2120/2015 - 9/11 - 2/2011 p. 133). Des sentiments d'inimitié marquée (ou d'amitié étroite) à l'égard d'une partie ou de son avocat, peuvent, en principe, justifier une demande de récusation pour apparence de prévention (cf. arrêts 9C_366/2013 du 2 décembre 2013, 5A_756/2008 du 9 sept. 2009 consid. 2.1).</w:t>
      </w:r>
    </w:p>
    <w:p>
      <w:r>
        <w:t>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(ATFA non publiés du 3 février 2006, I 832/04, consid. 2.3.1 et du 17 août 2004, I 29/04, consid. 2.2 et les références). Le simple fait que le médecin consulté est lié à l’assureur par un rapport de travail ne permet pas de douter a priori de l’objectivité de son appréciation, ni de soupçonner une prévention (cf. ATF 125 V 353). De même, le fait qu’un médecin se soit déjà prononcé sur le cas de l’assuré ne constitue pas une circonstance de nature à susciter une apparence de prévention au sens de la jurisprudence précitée (cf. arrêt du 8 septembre 2000 cause U 291/99). Enfin, il convient de rappeler qu’il existe une présomption d’impartialité de l’expert, de sorte que la partie qui demande sa récusation doit apporter la preuve permettant de renverser cette présomption (cf. arrêt du 27 août 2004 cause I 752/03 et doctrine citée).</w:t>
      </w:r>
    </w:p>
    <w:p>
      <w:r>
        <w:rPr>
          <w:b/>
        </w:rPr>
        <w:t>E. 7</w:t>
      </w:r>
    </w:p>
    <w:p>
      <w:r>
        <w:t>En l’espèce, l’intimée invoque un motif formel de récusation, à savoir que dans une procédure actuellement en cours devant la chambre des assurances sociales et concernant un autre assuré, l’expert désigné aurait pris, avec véhémence, plusieurs fois position à son encontre, soutenant notamment qu’elle faisait preuve de mauvaise foi. Selon l’intimée, l’indépendance du Dr L______ n’est pas suffisamment garantie pour qu’il soit désigné comme expert dans la présente cause. La chambre de céans relève en premier lieu que la procédure évoquée par l’intimée n’a aucun lien avec la présente cause. Elle concerne en effet un autre assuré dont le Dr L______ est le médecin traitant et c’est en cette qualité qu’il a rédigé le courrier auquel fait allusion l’intimée. On ne décèle au demeurant pas le caractère inadmissible des propos tenus par le praticien, lorsqu’il écrit « il n’y a aucun doute à ce que cette lésion soit d’origine traumatique, prétendre le contraire est vraiment faire preuve de mauvaise foi ». Contrairement à ce que l’intimée soutient, ces propos ne permettent pas d’admettre un quelconque sentiment d’animosité, ni de tensions telles qu’elles seraient susceptibles d’altérer la capacité du Dr L______ d’agir avec la neutralité nécessaire dans le cadre de la mission d’expertise et de répondre aux questions posées.</w:t>
      </w:r>
    </w:p>
    <w:p>
      <w:r>
        <w:t>A/2120/2015 - 10/11 - L’intimée affirme encore que le Dr L______, toujours dans le cadre de l’autre procédure, soutient son patient dans toutes ses démarches, de sorte qu’il joue un rôle actif dans le procès. Toutefois, le fait que Dr L______, en tant que médecin traitant, appuie les démarches d’un patient dans le cadre d’une procédure qui n’a aucun lien avec la présente cause ne permet pas de retenir une apparence de prévention. L’intimée ne prétend pas en particulier que le Dr L______ soit intervenu dans la présente procédure, ni qu’il ait manifesté, de quelque manière que ce soit, son opinion. L’intimée n’apporte pas d’autre élément démontrant l’existence de circonstances objectives de nature à compromettre la liberté de jugement de l’expert désigné par la chambre de céans.</w:t>
      </w:r>
    </w:p>
    <w:p>
      <w:r>
        <w:rPr>
          <w:b/>
        </w:rPr>
        <w:t>E. 8</w:t>
      </w:r>
    </w:p>
    <w:p>
      <w:r>
        <w:t>Au vu de ce qui précède, la demande de récusation formée par l’intimée, mal fondée, est rejetée.</w:t>
      </w:r>
    </w:p>
    <w:p>
      <w:r>
        <w:t>A/2120/2015 - 11/11 -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