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ATAS/600/2014 vom 13. Mai 2014</w:t>
      </w:r>
    </w:p>
    <w:p>
      <w:r>
        <w:t>GE Cour de justice, 2014-05-13, FR</w:t>
      </w:r>
    </w:p>
    <w:p>
      <w:r>
        <w:rPr>
          <w:b/>
        </w:rPr>
        <w:t xml:space="preserve">Quelle: </w:t>
      </w:r>
      <w:r>
        <w:t>https://mcp.opencaselaw.ch/entscheid/ge_gerichte_ATAS_600_2014</w:t>
      </w:r>
    </w:p>
    <w:p>
      <w:r>
        <w:t>FR: GE_GERICHTE ATAS/600/2014 du 13 mai 2014</w:t>
      </w:r>
    </w:p>
    <w:p>
      <w:r>
        <w:t>IT: GE_GERICHTE ATAS/600/2014 del 13 maggio 2014</w:t>
      </w:r>
    </w:p>
    <w:p>
      <w:pPr>
        <w:pStyle w:val="Heading2"/>
      </w:pPr>
      <w:r>
        <w:t>Erwägungen</w:t>
      </w:r>
    </w:p>
    <w:p>
      <w:r>
        <w:rPr>
          <w:b/>
        </w:rPr>
        <w:t>E. 1</w:t>
      </w:r>
    </w:p>
    <w:p>
      <w:r>
        <w:t>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 RS 832.10).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La question de la recevabilité du recours sera laissée ouverte.</w:t>
      </w:r>
    </w:p>
    <w:p>
      <w:r>
        <w:rPr>
          <w:b/>
        </w:rPr>
        <w:t>E. 4</w:t>
      </w:r>
    </w:p>
    <w:p>
      <w:r>
        <w:t>Le litige porte sur la fixation de la prime de l'assurance-maladie obligatoire des soins pour l'année 2010.</w:t>
      </w:r>
    </w:p>
    <w:p>
      <w:r>
        <w:rPr>
          <w:b/>
        </w:rPr>
        <w:t>E. 5</w:t>
      </w:r>
    </w:p>
    <w:p>
      <w:r>
        <w:t>a. Conformément à l’art. 60 LAMal, dans sa teneur dès le 1er janvier 2005, l’assurance obligatoire des soins est financée d’après le système de la répartition des dépenses. Les assureurs constituent des réserves suffisantes afin de supporter</w:t>
      </w:r>
    </w:p>
    <w:p>
      <w:r>
        <w:t>A/324/2010 - 5/9 -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c. Les dispositions de l'OAMal (art. 78 et ss) détaillent les obligations des assureurs (équilibre des charges et des produits, comptabilité distincte pour l’assurance- maladie sociale, provision pour cas d'assurance non liquidés, approbation de l’OFSP des primes, etc.).</w:t>
      </w:r>
    </w:p>
    <w:p>
      <w:r>
        <w:rPr>
          <w:b/>
        </w:rPr>
        <w:t>E. 6</w:t>
      </w:r>
    </w:p>
    <w:p>
      <w:r>
        <w:t>a. Le Tribunal fédéral a relevé qu'en vertu des articles 76 al. 1 LPGA et 21 al. 1 LAMal, il appartient au Conseil fédéral de surveiller la mise en œuvre de l'assurance-maladie, lequel a délégué l'ensemble des tâches de surveillance à l'OFSP (ATF 130 V 196 consid. 5.2).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 (ATF 135 V 39 consid. 3). b. Un assuré touché par une décision prise en application d'un tarif des primes de l'AOS dans une situation concrète peut exiger du juge qu'il en contrôle la légalité (ATF 131 V 66 consid. 4). Le juge ne saurait toutefois entrer en matière sur les</w:t>
      </w:r>
    </w:p>
    <w:p>
      <w:r>
        <w:t>A/324/2010 - 6/9 -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(ATF 131 V 66 consid. 5.2), tel que par exemple dans le domaine de l’assurance-accidents (ATF 135 V 39 consid. 4.3). c.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Dans le cadre du contrôle de la légalité de la clause en question, il doit bien plutôt examiner si celle-ci est conforme au système de la répartition des dépenses (art. 60 al. 1 LAMal) et au principe du financement autonome de l'AOS (art. 60 al. 2 et 3 LAMal). En particulier, il lui incombe de vérifier les exigences des art. 81 al. 1 et 84 OAMal. Appelé dans un cas particulier à se prononcer sur la légalité d'une position d'un tarif des primes de l'assurance-maladie obligatoire, le juge des assurances sociales devra faire appel à des spécialistes des organes de fixation et d'approbation des tarifs de primes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w:t>
      </w:r>
    </w:p>
    <w:p>
      <w:r>
        <w:t>A/324/2010 - 7/9 - Il convient de faire une exception au principe général de la vraisemblance prépondérante, applicable en assurances sociales, en matière d’examen de la légalité des primes de l’AOS. En exigeant que les tarifs des primes de l'AOS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130 III 321 consid. 3.2 ; ATF 135 V 39 consid. 6.1 et 6.2). e. Au vu de la présomption d'adéquation des primes de l'AOS,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Compte tenu de l'aspect forcément conjectural des primes d'assurance et de la réserve dont le juge doit faire preuve lorsqu'il est amené à examiner concrètement la légalité d'une clause tarifaire,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w:t>
      </w:r>
    </w:p>
    <w:p>
      <w:r>
        <w:rPr>
          <w:b/>
        </w:rPr>
        <w:t>E. 7</w:t>
      </w:r>
    </w:p>
    <w:p>
      <w:r>
        <w:t>Après avoir ordonné une expertise comptable de l'assurance Mutuel dans le cadre de la cause A/1915/2007, la Chambre des assurances sociales de la Cour de justice a rejeté le recours de l'assuré qui contestait le montant de sa prime en 2007, le rapport d'expertise permettant à la Cour de statuer sur la légalité de l'augmentation de la prime (ATAS/918/2013).</w:t>
      </w:r>
    </w:p>
    <w:p>
      <w:r>
        <w:rPr>
          <w:b/>
        </w:rPr>
        <w:t>E. 8</w:t>
      </w:r>
    </w:p>
    <w:p>
      <w:r>
        <w:t>En l'espèce, il n'est pas contesté que l'OFSP a approuvé les augmentations de primes de l'intimé pour l'année 2010, ce qui a pour conséquence que l'adéquation du montant des primes est présumée. En outre, dans le cadre de la procédure opposant Mutuel assurance à un assuré concernant l'augmentation des primes pour l'année 2001 (ATF 135 V 39), le Tribunal fédéral a relevé que, dans un rapport d'audit du 18 octobre 2006, l'OFSP avait attesté que le choix des clés de répartition appliquées</w:t>
      </w:r>
    </w:p>
    <w:p>
      <w:r>
        <w:t>A/324/2010 - 8/9 - par le Groupe mutuel pour le compte des institutions qui lui étaient affiliées ainsi que leurs pondérations se rapprochaient de la réalité économique. Dans le cadre de la cause opposant ce même assuré à Mutuel assurance pour la prime 2007 (ATAS/918/2013), la Chambre des assurances sociales a, sur la base de l’expertise comptable ordonnée, jugé que rien ne permettait d’affirmer que la cotisation de l’assureur au groupe auquel il appartenait n’était pas justifiée, ni que les frais administratifs payés dépassaient toute mesure raisonnable au point de ne pas être compatibles avec le principe de l’économicité, de sorte que le recourant n’avait pas réussi à apporter la preuve de l’inadéquation du montant des primes. Or, en l'occurrence, le recourant ne fait valoir aucun grief intelligible ni contre la fixation de sa prime ni contre l'arrêt précité, qui permettrait de s'en écarter dans son cas et de retenir que la hausse de la prime serait injustifiée. Il se borne à exiger que la Chambre des assurances sociales recommence l'exercice, alors que la suspension de l'ensemble des causes pendantes contre les diverses assurances du groupe Mutuel avait précisément pour but de leur appliquer le résultat de la procédure A/1915/2007. Au surplus, les récriminations générales de l'assuré contre les assureurs et ses griefs concernant la prise en charge de certains frais de maladie sont soit sans pertinence, soit ont déjà été jugés dans le cadre de l'une des nombreuses procédures qu'il a intentées.</w:t>
      </w:r>
    </w:p>
    <w:p>
      <w:r>
        <w:rPr>
          <w:b/>
        </w:rPr>
        <w:t>E. 9</w:t>
      </w:r>
    </w:p>
    <w:p>
      <w:r>
        <w:t>Dès lors que le recourant n'établit pas à satisfaction de droit la non-conformité au droit fédéral de la prime litigieuse, la Chambre de céans ne peut que rejeter son recours et confirmer l'augmentation de sa prime 2010. Le recours est dès lors rejeté.</w:t>
      </w:r>
    </w:p>
    <w:p>
      <w:r>
        <w:t>A/324/2010 - 9/9 -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