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ATAS/600/2009 vom 16. Juni 2009</w:t>
      </w:r>
    </w:p>
    <w:p>
      <w:r>
        <w:t>GE Cour de justice, 2009-06-16, FR</w:t>
      </w:r>
    </w:p>
    <w:p>
      <w:r>
        <w:rPr>
          <w:b/>
        </w:rPr>
        <w:t xml:space="preserve">Quelle: </w:t>
      </w:r>
      <w:r>
        <w:t>https://mcp.opencaselaw.ch/entscheid/ge_gerichte_ATAS_600_2009</w:t>
      </w:r>
    </w:p>
    <w:p>
      <w:r>
        <w:t>FR: GE_GERICHTE ATAS/600/2009 du 16 juin 2009</w:t>
      </w:r>
    </w:p>
    <w:p>
      <w:r>
        <w:t>IT: GE_GERICHTE ATAS/600/2009 del 16 giugno 2009</w:t>
      </w:r>
    </w:p>
    <w:p>
      <w:pPr>
        <w:pStyle w:val="Heading2"/>
      </w:pPr>
      <w:r>
        <w:t>Erwägungen</w:t>
      </w:r>
    </w:p>
    <w:p>
      <w:r>
        <w:rPr>
          <w:b/>
        </w:rPr>
        <w:t>E. 1</w:t>
      </w:r>
    </w:p>
    <w:p>
      <w:r>
        <w:t>Conformément à l’art. 56V al. 1er let. a ch. 2 de la loi genevoise du 22 novembre 1941 sur l’organisation judiciaire, le Tribunal cantonal des assurances sociales connaît en instance unique des contestations prévues à l’art. 56 de la loi fédérale du</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non publiés au Recueil officiel des 28 décembre 2006, I 520/05, et 21 août 2006, I 554/06), lequel dispose que si le taux d’invalidité du bénéficiaire de la rente subit une modification notable, la rente est, d’office ou sur demande, révisée pour l’avenir, à savoir augmentée ou réduite en conséquence, ou encore supprimée. À cet égard, l’art. 88a al. 1er du règlement du 17 janvier 1961 sur l’assurance- invalidité (RAI), précise notamment que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Est réputée invalidité, l’incapacité de gain totale ou partielle présumée permanente ou de longue durée, résultant d’une infirmité congénitale, d’une maladie ou d’un accident (art. 8 al. 1er LPGA et 4 al. 1er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dans sa teneur en vigueur jusqu’au 31 décembre 2007). Relevons d’ores et déjà que l’obligation pour l’assuré de diminuer le dommage est un principe général du droit des assurances sociales (ATF 129 V 460 consid. 4.2, 123 V 230 consid. 3c et les références citées), codifié depuis le 1er janvier 2008 aux art. 7 et suivants LAI.</w:t>
      </w:r>
    </w:p>
    <w:p>
      <w:r>
        <w:t>A/808/2009 - 8/12 -</w:t>
      </w:r>
    </w:p>
    <w:p>
      <w:r>
        <w:rPr>
          <w:b/>
        </w:rPr>
        <w:t>E. 7</w:t>
      </w:r>
    </w:p>
    <w:p>
      <w:r>
        <w:t>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w:t>
      </w:r>
    </w:p>
    <w:p>
      <w:r>
        <w:t>A/808/2009 - 9/12 -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Enfin,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une fibromyalgie, dans la mesure où ils ne sont en règle générale qu’une manifestation réactive qui ne doit pas faire l’objet d’un diagnostic séparé (ATF 130 V 352 consid. 3.3.1 in fine).</w:t>
      </w:r>
    </w:p>
    <w:p>
      <w:r>
        <w:rPr>
          <w:b/>
        </w:rPr>
        <w:t>E. 8</w:t>
      </w:r>
    </w:p>
    <w:p>
      <w:r>
        <w:t>En l’espèce, les avis médicaux versés à la procédure parviennent, s’agissant des constats relatifs à l’état de santé du recourant, substantiellement aux mêmes conclusions. Il apparaît en effet que seule l’appréciation « juridique », proposée par l’expert, des conséquences de ces constats diffèrent de celle du médecin-traitant. Dans ces conditions, il s’avère superflu d’examiner la valeur probante respective des rapports établis par les docteurs D________ et E________. À cet égard en</w:t>
      </w:r>
    </w:p>
    <w:p>
      <w:r>
        <w:t>A/808/2009 - 10/12 - effet, on déplorera le fait qu’en se prononçant sur les conséquences juridiques des résultats de leurs examens, ces praticiens aient outrepassé les limites de leur mandat, étant entendu que celui-ci consiste à fournir à l’administration et, cas échéant, au juge des considérations d’ordre strictement médical. Il n’en demeure pas moins qu’en faisant abstraction desdites considérations juridiques, les rapports établis par les médecins précités fournissent un tableau clinique univoque et cohérent de l’état de santé du recourant. À cet égard, force est de constater que les conditions posées par la jurisprudence pour faire admettre le caractère exceptionnellement invalidant de la fibromyalgie diagnostiquée font défaut dans le cas d’espèce. Il apparaît en effet que les avis médicaux exprimés s’accordent à considérer qu’hormis la présence d’un processus maladif s’étendant sur plusieurs années, les indices propres à retenir une incapacité de travail, même partielle, n’ont pas été recueillis. En particulier, il a été établi que la symptomatologie de l’intéressé a évolué, notamment par l’adaptation technique des traitements prescrits. D’autre part, rien n’indique que le recourant ait subi une perte d’intégration sociale dans toutes les manifestations de sa vie, ou l’échec de tous les traitements ambulatoires entrepris conformément aux règles de l’art et cela, malgré l’attitude coopérative dont il a fait preuve. Expertise et rapports médicaux s’accordent en outre à considérer que le recourant ne présente nullement une comorbidité psychiatrique grave et durable, s’agissant notamment des troubles de l’adaptation diagnostiqués, un état psychique cristallisé sans évolution possible au plan thérapeutique, ou un état dépressif susceptible de retentir de manière significative sur l’exercice de son activité professionnelle. Il sied en outre de relever que les rapports établis par les docteurs E________ et D________ s’accordent, sur le plan strictement médical, à admettre que les troubles du sommeil présentés par le recourant du fait du syndrome dont il était affligé étaient efficacement traités par l’adaptation de l’appareillage mis à sa disposition au début de 2007. Il découle de là qu’il se justifie de considérer que son état de santé s’est substantiellement amélioré à cette époque-là. Enfin, si l’on peut déplorer, avec le recourant, que l’OCAI ne l’ait informé qu’au mois de novembre 2008 de la limite fixée le 31 juillet 2007 au versement de sa rente d’invalidité, il s’impose d’admettre que, dans le respect du délai fixé par l’art. 88a RAI précité et compte tenu du caractère stationnaire de son état de santé depuis lors, c’est à bon droit que l’intimé a rendu la décision du 24 février 2009. En conséquence, le recours du 9 mars suivant doit être rejeté.</w:t>
      </w:r>
    </w:p>
    <w:p>
      <w:r>
        <w:rPr>
          <w:b/>
        </w:rPr>
        <w:t>E. 9</w:t>
      </w:r>
    </w:p>
    <w:p>
      <w:r>
        <w:t>Pour le surplus, un émolument de 200 fr. sera mis à la charge du recourant en application de l’art. 69 al. 1bis LAI, qui prévoit que, en dérogation à l’art. 61 let. a, LPGA, la procédure de recours en matière de contestations portant sur l’octroi ou le refus de prestations de l’assurance-invalidité devant le tribunal cantonal des</w:t>
      </w:r>
    </w:p>
    <w:p>
      <w:r>
        <w:t>A/808/2009 - 11/12 - assurances est soumise à des frais de justice, le montant des frais étant fixé en fonction de la charge liée à la procédure, indépendamment de la valeur litigieuse, et devant se situer entre 200 et 1'000 fr.</w:t>
      </w:r>
    </w:p>
    <w:p>
      <w:r>
        <w:t>A/808/2009 - 12/12 -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