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ATAS/5/2025 vom 13. Januar 2025</w:t>
      </w:r>
    </w:p>
    <w:p>
      <w:r>
        <w:t>GE Cour de justice, 2025-01-13, FR</w:t>
      </w:r>
    </w:p>
    <w:p>
      <w:r>
        <w:rPr>
          <w:b/>
        </w:rPr>
        <w:t xml:space="preserve">Quelle: </w:t>
      </w:r>
      <w:r>
        <w:t>https://mcp.opencaselaw.ch/entscheid/ge_gerichte_ATAS_5_2025</w:t>
      </w:r>
    </w:p>
    <w:p>
      <w:r>
        <w:t>FR: GE_GERICHTE ATAS/5/2025 du 13 janvier 2025</w:t>
      </w:r>
    </w:p>
    <w:p>
      <w:r>
        <w:t>IT: GE_GERICHTE ATAS/5/2025 del 13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56 et 60 al. 1 LPGA) prévus par la loi, le recours contre la décision du 29 mai 2024 est recevable.</w:t>
      </w:r>
    </w:p>
    <w:p>
      <w:r>
        <w:rPr>
          <w:b/>
        </w:rPr>
        <w:t>E. 2</w:t>
      </w:r>
    </w:p>
    <w:p>
      <w:r>
        <w:t>Le litige porte sur le droit de la recourante à une rente entière d'invalidité, singulièrement sur sa capacité de travail.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t>A/2185/2024 - 7/18 -</w:t>
      </w:r>
    </w:p>
    <w:p>
      <w:r>
        <w:rPr>
          <w:b/>
        </w:rPr>
        <w:t>E. 3.1.1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3.1.2</w:t>
      </w:r>
    </w:p>
    <w:p>
      <w:r>
        <w:t>En l’occurrence, un éventuel droit à une rente d’invalidité naîtrait au plus tôt le 1er février 2023, dès lors que le délai d’attente d’une année est venu à échéance le 20 février 2023 et que la demande de prestations a été déposée le 18 juillet 2022 (cf. art. 28 al. 1 let. b et 29 al. 1 LAI), de sorte que les dispositions légales applicables seront citées dans leur nouvelle teneur.</w:t>
      </w:r>
    </w:p>
    <w:p>
      <w:r>
        <w:rPr>
          <w:b/>
        </w:rPr>
        <w:t>E. 3.2.1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3.2.2</w:t>
      </w:r>
    </w:p>
    <w:p>
      <w:r>
        <w:t>Les atteintes à la santé psychique peuvent, comme les atteintes physiques, entraîner une invalidité au sens de l'art. 4 al. 1 LAI en liaison avec l'art. 8 LPGA.</w:t>
      </w:r>
    </w:p>
    <w:p>
      <w:r>
        <w:t>A/2185/2024 - 8/18 -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I.786/04 du 19 janvier 2006 consid. 3.1).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A/2185/2024 - 9/18 - Les indicateurs appartenant à la catégorie « degré de gravité fonctionnel » forment le socle de base pour l’évaluation des troubles psychiques (ATF 141 V 281 consid. 4.3 ; arrêt du Tribunal fédéral 9C_618/2019 du 16 mars 2020 consid. 8.2).</w:t>
      </w:r>
    </w:p>
    <w:p>
      <w:r>
        <w:rPr>
          <w:b/>
        </w:rPr>
        <w:t>E. 3.2.3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fait qu'une expertise ait été réalisée sur mandat d'un assureur d'indemnités journalières selon la loi fédérale sur le contrat d'assurance du 2 avril 1908 (loi sur le contrat d’assurance, LCA - RS 221.229.1) - et donc pas selon la procédure de l’art. 44 LPGA -, ne suffit pas à nier sa valeur probante lors de l'évaluation du droit à une rente d’invalidité de l’AI. Toutefois, l'appréciation des preuves doit répondre à des exigences strictes. S'il existe des doutes, même minimes, quant à la fiabilité et à la cohérence d'une telle expertise, il convient de procéder à des clarifications complémentaires, comme cela est le cas pour les appréciations médicales internes à l’assurance. Une expertise « externe à la procédure »</w:t>
      </w:r>
    </w:p>
    <w:p>
      <w:r>
        <w:t>A/2185/2024 - 10/18 - (« Fremdgutachten ») ne peut ainsi se voir d'emblée reconnaître la même valeur probante qu'une expertise ordonnée par un tribunal ou par un assureur selon l'art. 44 LPGA (cf. arrêt du Tribunal fédéral 9C_452/2023 du 24 janvier 2024 consid. 5.2.1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t>A/2185/2024 - 11/18 -</w:t>
      </w:r>
    </w:p>
    <w:p>
      <w:r>
        <w:rPr>
          <w:b/>
        </w:rPr>
        <w:t>E. 4</w:t>
      </w:r>
    </w:p>
    <w:p>
      <w:r>
        <w:t>août 2017 consid. 6.3), le revenu avec invalidité s'élèverait à CHF 48'828.- ([4'069 - salaire statistique -, total, femme, niveau de compétence 1] × 12). Ce salaire hypothétique se base toutefois sur une durée hebdomadaire de travail de 40 heures, inférieure à la moyenne usuelle dans les entreprises. Il convient alors de l'ajuster à la durée hebdomadaire normale de travail en 2022, laquelle est de 41.7 heures (tableau « Durée normale du travail dans les entreprises selon la division économique » de l'Office fédéral de la statistique), ce qui porte le salaire annuel à CHF 50'903.19.- (48'828 × 41.7 / 40). Après adaptation de ce montant à l'évolution des salaires nominaux pour les femmes en 2023, au moment de la naissance du droit à la rente (ATF 129 V 222 ; ISS ; en 2022 : 2822 et en 2023 : 2872), le revenu avec invalidité s'élèverait à CHF 51'805.089 (50'903.19 × 2872 / 2822) pour un plein temps.</w:t>
      </w:r>
    </w:p>
    <w:p>
      <w:r>
        <w:t>A/2185/2024 - 17/18 - Si l'on opère sur ce revenu un abattement de 20%, comme le voudrait la recourante, le revenu d'invalide se chiffrerait à CHF 41'444.072 (51'805.089 × 20 / 100 = 10'361.017 ; 51'805.089 - 10'361.017 = 41'444.072). Compte tenu d'un revenu sans invalidité - non contesté - de CHF 54'043.- il en résulterait un taux d'invalidité de 23.31% ([54'043 - 41'444.072] / 54'043 × 100), arrondi à 23% (ATF 130 V 121 consid. 3.2), inférieur au taux minimum de 40% ouvrant le droit à une rente d'invalidité selon l'art. 28 al. 1 let. c LAI.</w:t>
      </w:r>
    </w:p>
    <w:p>
      <w:r>
        <w:rPr>
          <w:b/>
        </w:rPr>
        <w:t>E. 4.1</w:t>
      </w:r>
    </w:p>
    <w:p>
      <w:r>
        <w:t>En l'espèce, l'intimé, en s'appuyant sur l'avis du SMR du 12 avril 2024, lui- même fondé notamment sur le rapport d'expertise psychiatrique du 1er mars 2023, a nié le droit de la recourante à une rente d'invalidité. Celle-ci conteste la valeur probante de cette expertise, et, en se basant sur les rapports de sa psychiatre traitante, requiert une rente entière d'invalidité. Le rapport d'expertise repose sur les pièces médicales du dossier (p. 2-3), les plaintes et l'anamnèse (p. 3-6), l'examen clinique (p. 6-7), ainsi que l'évaluation circonstanciée du cas (p. 7-12). L'expert n'a retenu aucun diagnostic incapacitant au moment de son examen le 27 février 2023 (p. 1, 7-8). Compte tenu des troubles psychiques invoqués, il convient de déterminer leur éventuel caractère incapacitant à la lumière des indicateurs jurisprudentiels (consid. 3.2.2 ci-dessus). S’agissant de la catégorie « degré de gravité fonctionnelle », l'expert, au jour de son examen, a constaté que la recourante ne présentait pas une décompensation psychique, en précisant que le tableau clinique était asymptomatique. L'expert a exclu le diagnostic de « trouble dépressif caractérisé », au motif que l'humeur était neutre, l'appétit préservé, sans signe de tristesse ni de réduction de l'énergie, sans diminution de l'intérêt pour les activités habituelles y compris les loisirs, sans anhédonie ni aboulie, sans insomnie ni hypersomnie, sans perturbation sur le plan psychomoteur, sans idée de dévalorisation ni de culpabilité morbide, sans diminution de l'aptitude à penser ou à se concentrer, et sans idée suicidaire (p. 8-9). Pour ces mêmes motifs, l'expert a également écarté le diagnostic de l'« épisode maniaque » ou « hypomaniaque » au jour de son examen (p. 9). L'expert n'a pas remarqué de troubles attentionnels majeurs ni de déficit de concentration cliniquement significatif. Compte tenu de ses observations, il a considéré que les limitations retenues par la psychiatre traitante - fragilité psychique, vulnérabilité au stress, faibles capacités d'adaptation - étaient difficiles à interpréter sur le plan sémiologique (p. 8). Il a aussi nié le diagnostic de « schizophrénie » lors de son examen, en l'absence de symptôme psychotique, de même que le diagnostic de « trouble délirant » à défaut d'un délire persistant pendant plus d'un mois (p. 10). L'expert a relevé que, à la suite de la décompensation survenue en mars 2022 ayant motivé l'hospitalisation de la recourante (qu'il a qualifiée de « trouble psychotique bref » ; voir infra), l'évolution s'était avérée rapidement favorable ; à la sortie de l'hôpital, le status psychiatrique était déjà asymptomatique et dans ses rapports, la psychiatre traitante, qui avait suivi la recourante en ambulatoire</w:t>
      </w:r>
    </w:p>
    <w:p>
      <w:r>
        <w:t>A/2185/2024 - 12/18 - depuis lors, évoquait seulement un trouble mental en rémission. Il en a inféré que l'arrêt de travail n'était pas justifié depuis longtemps (avant l'expertise), tout en ajoutant qu'il n'existait pas de raison de retenir une perte durable de la capacité de travail. La dernière décompensation qui avait nécessité une hospitalisation avait eu lieu presque dix ans auparavant et la recourante avait pu travailler jusqu'à présent auprès de différents employeurs, en particulier douze ans chez l'avant- dernier en tant que surveillante de musée (p. 11 et 5). S’agissant du « succès du traitement et de la réadaptation », la recourante bénéficie d'un suivi auprès de sa psychiatre traitante ainsi que d'un traitement médicamenteux. L'expert a souligné que celui-ci doit être maintenu pour éviter tout risque d'une nouvelle décompensation (p. 11-12). Ainsi, il ne ressort pas du dossier que la recourante serait confrontée à un échec de toute thérapie médicalement indiquée. S’agissant des « comorbidités » somatiques, la recourante se plaint de dorsalgies (rapport d'expertise p. 6). Certes, dans un rapport du 7 septembre 2022, le Dr C______, médecin généraliste traitant, a posé le diagnostic incapacitant de lombalgie (dossier AI p. 164). Toutefois, à titre de limitation fonctionnelle, il s'est borné à mentionner une douleur lombaire (p. 165) - relatée par sa patiente -, sans faire état d'aucun élément médical objectif, corroboré par une imagerie, qui justifierait une baisse de la capacité de travail. Aucune pièce médicale probante ne permet donc de retenir une atteinte lombaire incapacitante. S’agissant du complexe de « la personnalité », ni l'expert ni la psychiatre traitante n'ont fait état d'un trouble spécifique de la personnalité au sens d'une classification diagnostique reconnue. En ce qui concerne le « contexte social », la recourante a déclaré avoir de bonnes relations avec ses deux fils (p. 4), ainsi qu'avec sa mère à qui elle rend régulièrement visite (p. 6). Son contexte familial lui procure donc des ressources mobilisables. Quant à la catégorie « cohérence », l'expert a relevé, à tout le moins, deux incohérences. D'une part, une incapacité totale de travail était attestée, alors que la recourante était pleinement autonome dans les fonctions de la vie quotidienne. Son hygiène était correcte, elle effectuait les tâches ménagères, faisait les courses, cuisinait, se promenait, regardait des films, lisait, et gérait seule ses tâches administratives (p. 6). D'autre part, au vu de la stabilisation de l'état de santé au printemps dernier (le rapport [médical] du mois de mai [2022] évoquait déjà la rémission), il était étrange que le taux de capacité de travail n'ait pas été ajusté (p. 12). Compte tenu des indicateurs pertinents, il y a lieu d'admettre avec l'expert et le SMR que la capacité de travail de la recourante est entière dans toute activité depuis, en tout cas, le 11 octobre 2022, date à compter de laquelle son état de santé est stabilisé selon le rapport de la psychiatre traitante du 26 janvier 2024.</w:t>
      </w:r>
    </w:p>
    <w:p>
      <w:r>
        <w:t>A/2185/2024 - 13/18 - L'avis de la psychiatre traitante du 22 août 2024 n'est pas de nature à discréditer l'appréciation de l'expert. En effet, en ce qui concerne le diagnostic de « trouble affectif bipolaire épisode mixte » posé par les HUG en mars 2022, l'expert a exprimé son désaccord, au motif que le status psychiatrique à l'admission [à l'hôpital] ne faisait pas état des critères d'un épisode thymique (la thymie était qualifiée de neutre), excluant pour ce motif déjà que le diagnostic d'« épisode mixte » soit retenu. À cela s'ajoutait le fait que l'évolution avait été rapidement favorable, ce qui paraissait atypique pour un « épisode mixte » (p. 10). Selon lui, la décompensation survenue à cette époque remplissait possiblement les critères du « trouble psychotique bref », car la recourante avait présenté une désorganisation et une idéation délirante pendant plus d'un jour, mais moins d'un mois, sans que la décompensation soit due aux effets physiologiques d'une substance ni s'inscrive dans le cadre d'un trouble bipolaire vu l'absence d'un épisode thymique à l'entrée ni d'un autre trouble psychotique (exclusion du trouble dépressif caractérisé ou schizophrénie pour les motifs déjà expliqués, de même que d'une catatonie ; p. 11). La psychiatre traitante, quant à elle, s'écarte du diagnostic de « trouble psychotique bref » et maintient que sa patiente souffre d'un trouble affectif bipolaire de type 1. C'est le lieu de rappeler que l'influence d'une atteinte à la santé sur la capacité de travail est davantage déterminante que sa qualification en matière d'assurance- 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Ainsi, une atteinte à la santé (y compris psychique) n'est en soi pas décisive. Est déterminante sa répercussion sur la capacité de travail (résiduelle) en matière d'assurance-invalidité. Or, l'expert a expliqué, de manière convaincante, que la recourante était pleinement apte à exercer toute activité, dans la mesure où le trouble était en rémission depuis le printemps 2022 déjà (aux dires mêmes de la psychiatre traitante dans le rapport du 16 mai 2022), que, à la suite des décompensations antérieures qui avaient été traitées, la recourante avait pu retravailler, et que, le jour de l'expertise, elle ne présentait pas de limitation fonctionnelle. Le fait que la psychiatre traitante apprécie différemment la capacité de travail de la recourante n'est en soi pas suffisant pour s'écarter des conclusions de l'expert. Celle-ci fournit des considérations d'ordre général lorsqu'elle explique que le trouble bipolaire est une maladie chronique marquée par une récurrence</w:t>
      </w:r>
    </w:p>
    <w:p>
      <w:r>
        <w:t>A/2185/2024 - 14/18 - d'épisodes thymiques avec un haut risque de rechute tant sur le versant dépressif que maniaque et que même en période d'euthymie, les patients peuvent présenter des déficits cognitifs, une perturbation émotionnelle et des limitations fonctionnelles marquées et très invalidantes. À ce propos, l'expert a indiqué que la recourante, concrètement, ne présentait pas de signe d'agitation, ni d'anxiété ni de troubles cognitifs francs ni de troubles mnésiques ni de troubles attentionnels majeurs ni de signes de fatigabilité mentale ou de déficit de concentration, d'autant moins qu'elle assumait ses tâches administratives (p. 7-8). Dans ses rapports des 26 janvier et 22 août 2024, la psychiatre traitante répète les éléments (anxiété pour des sollicitations mineures, difficultés de concentration et d'attention, faibles capacités d'adaptation) contenus dans son précédent rapport du 11 octobre 2022 dont l'expert a pris connaissance, étant rappelé que ce dernier a relevé que, au vu de son examen clinique et de l'absence de plainte sur le plan psychique à cette occasion (p. 6), les limitations énumérées par la psychiatre traitante (fragilité psychique, vulnérabilité au stress, faibles capacités d'adaptation) étaient difficiles à interpréter sur le plan sémiologique (p. 8). Le fait que, selon la psychiatre traitante, la stabilité thymique est maintenue par la prise d'un traitement stabilisateur de l'humeur et les perturbations émotionnelles par un traitement psychothérapeutique ne remet pas en cause les conclusions de l'expert. La psychiatre traitante confirme en cela que l'état de santé de la recourante reste stable grâce à l'efficacité du traitement médicamenteux et psychothérapeutique, et que la recourante n'est donc pas confrontée à un échec thérapeutique. La psychiatre traitante conteste les assertions en page 5 du rapport d'expertise selon lesquelles la recourante ne présentait pas de difficultés particulières dans l'activité de caissière, qu'elle a été mise en arrêt de travail le 20 février 2022 pour des dorsalgies et que, à ce moment-là, elle était encore stable sur le plan psychique. La psychiatre traitante indique que, lors d'un entretien le 11 mars 2022, en présence du fils de la patiente, il avait été relevé que la décompensation maniaque avait débuté en janvier 2022 avec notamment des troubles du sommeil, des troubles du comportement et une irritabilité, et que le stress au travail avait été le facteur de rechute. Or, l'expert, en page 5 de son rapport, n'a que retranscrit les déclarations mêmes de la recourante qui n'avait au demeurant pas fait état d'un stress au travail. Quoi qu'il en soit, la décompensation maniaque en janvier 2022 n'est pas susceptible de mettre en doute les conclusions de l'expert, puisque, comme on l'a dit plus haut, l'état de santé de la recourante s'est depuis lors amélioré au point qu'elle dispose d'une capacité de travail entière dans toute activité depuis le 11 octobre 2022. Pour le même motif, le fait que l'expert n'a pas pu prendre connaissance des rapports des HUG relatifs aux hospitalisations antérieures (à celle de mars 2022) n'a aucune incidence sur l'issue du litige. En effet, le droit de la recourante à une rente d'invalidité ne peut le cas échéant naître au plus tôt, au vu du dépôt de sa</w:t>
      </w:r>
    </w:p>
    <w:p>
      <w:r>
        <w:t>A/2185/2024 - 15/18 - demande de prestations le 18 juillet 2022, que le 1er février 2023, à l'échéance de la période de carence d'un an ayant débuté le 20 février 2022. Or, postérieurement à l'avant-dernière hospitalisation en 2013, la recourante a à nouveau travaillé et la décompensation survenue près de dix ans plus tard en mars 2022 n'a été que temporaire. Comme on le verra plus loin, au 1er février 2023, la recourante n'était pas invalide. Le fait que l'expert ne se soit pas entretenu avec la psychiatre traitante est également sans importance, puisque celui-ci a étudié les rapports de sa consœur et ses conclusions sont fondées sur ses observations, ce qui a amené l'expert à conclure que la recourante ne présentait pas de limitation fonctionnelle. Contrairement à ce que prétend la recourante, l'expert a décrit l'évolution personnelle, professionnelle et médicale (p. 3-6). En tant que la recourante fait valoir que l'anamnèse figurant dans l'expertise ne contiendrait pas des éléments pris en compte par la psychiatre traitante en lien avec le status psychiatrique d'entrée aux HUG en mars 2022, il y a lieu de rappeler que l'expert a analysé la lettre de sortie des HUG du 11 avril 2022 (p. 2) et que la controverse entre les deux spécialistes au sujet du diagnostic à retenir à cette époque ne remet pas en cause l'appréciation de l'expert fondée sur les rapports médicaux postérieurs à cette hospitalisation ainsi que son examen clinique quant à l'absence de limitation fonctionnelle de la recourante, depuis le printemps 2022. Par ailleurs, la durée de l'examen (en l'occurrence une heure et dix minutes ; rapport d'expertise p. 1) - qui n'est pas en soi un critère de la valeur probante d'un rapport médical -, ne saurait remettre en question la valeur du travail de l'expert, dont le rôle consiste notamment à se prononcer sur l'état de santé psychique de l'assuré dans un délai relativement bref (arrêt du Tribunal fédéral 9C_722/2018 du 12 décembre 2018 consid. 4.2). C'est ainsi à juste titre que l'intimé a considéré que l'expertise psychiatrique répondait aux critères jurisprudentiels pour se voir reconnaître force probante (ATF 134 V 231 consid. 5.1). Le fait que cette expertise a été établie sur mandat de l'assureur d'indemnités journalières de l'ancien employeur ne suffit pas à nier sa valeur probante lors de l'évaluation du droit à une rente d’invalidité de l’AI, d'autant moins que le rapport de la psychiatre traitante du 22 août 2024 ne laisse planer aucun doute quant à la fiabilité des conclusions motivées de l'expert. Il s'ensuit que l'instruction menée par l'intimé n'était pas lacunaire. Au vu ce qui précède, par appréciation anticipée des preuves (ATF 122 II 464 consid. 4a), il est superflu d'entendre oralement la recourante et de mettre en œuvre une expertise judiciaire.</w:t>
      </w:r>
    </w:p>
    <w:p>
      <w:r>
        <w:rPr>
          <w:b/>
        </w:rPr>
        <w:t>E. 4.2</w:t>
      </w:r>
    </w:p>
    <w:p>
      <w:r>
        <w:t>Dès lors que la recourante est apte à travailler dans toute activité depuis le 11 octobre 2022, elle ne peut pas être invalide. Le fait que par communication du 14 juin 2023, l'intimé a informé la recourante qu'aucune mesure de réadaptation ne serait mise en place en raison de son atteinte à la santé ne signifie pas encore,</w:t>
      </w:r>
    </w:p>
    <w:p>
      <w:r>
        <w:t>A/2185/2024 - 16/18 - contrairement à ce qu'elle soutient, qu'elle présenterait une atteinte à la santé invalidante, l'invalidité étant, pour rappel, une notion économique.</w:t>
      </w:r>
    </w:p>
    <w:p>
      <w:r>
        <w:rPr>
          <w:b/>
        </w:rPr>
        <w:t>E. 4.2.1</w:t>
      </w:r>
    </w:p>
    <w:p>
      <w:r>
        <w:t>Par surabondance, même à retenir le statut d'active (art. 24septies al. 2 let. a RAI) comme semble l'invoquer la recourante (cf. acte de recours du 28 juin 2024 p. 3), au lieu du statut mixte (art. 24septies al. 2 let. c RAI) retenu par l'intimé, cela n'a aucune incidence sur l'issue du litige. Dans ce cas,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4.2.2</w:t>
      </w:r>
    </w:p>
    <w:p>
      <w:r>
        <w:t>En l'occurrence, si l'on appliquait, comme le fait valoir la recourante, le salaire de références des branches 77-82 « activités de services admin. et de soutien » du tableau TA1_skill_level (secteur privé), non pas de l'ESS 2020, mais de l'ESS 2022 qui a été publié le 29 mai 2024 au moment déterminant de la décision querellée du 29 mai 2024 (arrêt du Tribunal fédéral 8C_655/2016 du</w:t>
      </w:r>
    </w:p>
    <w:p>
      <w:r>
        <w:rPr>
          <w:b/>
        </w:rPr>
        <w:t>E. 5</w:t>
      </w:r>
    </w:p>
    <w:p>
      <w:r>
        <w:t>En conséquence, le recours sera rejeté. La recourante, qui succombe, n'a pas droit à des dépens (art. 61 let. g LPGA a contrario).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A/2185/2024 - 18/18 -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