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ATAS/59/2024 vom 1. Februar 2024</w:t>
      </w:r>
    </w:p>
    <w:p>
      <w:r>
        <w:t>GE Cour de justice, 2024-02-01, FR</w:t>
      </w:r>
    </w:p>
    <w:p>
      <w:r>
        <w:rPr>
          <w:b/>
        </w:rPr>
        <w:t xml:space="preserve">Quelle: </w:t>
      </w:r>
      <w:r>
        <w:t>https://mcp.opencaselaw.ch/entscheid/ge_gerichte_ATAS_59_2024</w:t>
      </w:r>
    </w:p>
    <w:p>
      <w:r>
        <w:t>FR: GE_GERICHTE ATAS/59/2024 du 1 février 2024</w:t>
      </w:r>
    </w:p>
    <w:p>
      <w:r>
        <w:t>IT: GE_GERICHTE ATAS/59/2024 del 1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t>A/87/2023 - 7/27 -</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se fonde sur un complexe de faits antérieur au 1er janvier 2022, de sorte que les dispositions légales applicables seront citées dans leur ancienne teneur.</w:t>
      </w:r>
    </w:p>
    <w:p>
      <w:r>
        <w:rPr>
          <w:b/>
        </w:rPr>
        <w:t>E. 5</w:t>
      </w:r>
    </w:p>
    <w:p>
      <w:r>
        <w:t>Le délai de recours est de 30 jours (art. 56 LPGA ; art. 62 al. 1 de la loi sur la procédure administrative du 12 septembre 1985 [LPA - E 5 10]). Il sied d’examiner préalablement la recevabilité du recours, dès lors que l’intimé fait valoir la tardiveté de ce dernier. La décision querellée porte la date du 15 novembre 2022, elle a été notifiée sous pli simple, de telle manière qu’il n’est pas possible de déterminer avec précision le moment où elle a été notifiée à l’assurée. S’y ajoute le fait que l’assurée est représentée par un avocat qui s’est constitué après que le projet de décision a été rendu et a informé l’OAI de sa constitution avec élection de domicile, par pli recommandé du 14 octobre 2021. Il s’ensuit que la décision querellée devait être notifiée à l’avocat de l’assurée, suite à sa constitution de domicile ; cette dernière n’a pas été respectée par l’intimé lorsqu’il a notifié la décision du 15 novembre 2022 directement à l’assurée. Cette violation de l’élection de domicile constitue une notification irrégulière d’une décision qui ne doit pas entraîner un préjudice pour l’assurée, conformément à l’art. 49 al. 3 LPGA. De surcroît, l’intimé supporte le fardeau de la preuve de la date de notification de la décision ; en l’état, l’OAI est incapable de démontrer, au degré de la vraisemblance prépondérante, que sa décision a été notifiée à une date qui rendrait tardif le recours. Partant, la chambre de céans considère que le recours a été interjeté dans la forme et le délai prévus par la loi, compte tenu de la suspension des délais pendant la période du 18 décembre au 2 janvier inclusivement (art. 38 al. 4 let. c LPGA et art. 89C let. c LPA), et qu’il est recevable.</w:t>
      </w:r>
    </w:p>
    <w:p>
      <w:r>
        <w:rPr>
          <w:b/>
        </w:rPr>
        <w:t>E. 6</w:t>
      </w:r>
    </w:p>
    <w:p>
      <w:r>
        <w:t>Le litige porte sur le bien-fondé de la décision de l’OAI du 15 novembre 2022.</w:t>
      </w:r>
    </w:p>
    <w:p>
      <w:r>
        <w:t>A/87/2023 - 8/27 -</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8.2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w:t>
      </w:r>
    </w:p>
    <w:p>
      <w:r>
        <w:t>A/87/2023 - 9/27 -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t>A/87/2023 - 10/27 -</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w:t>
      </w:r>
    </w:p>
    <w:p>
      <w:r>
        <w:t>A/87/2023 - 11/27 -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w:t>
      </w:r>
    </w:p>
    <w:p>
      <w:r>
        <w:t>A/87/2023 - 12/27 -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w:t>
      </w:r>
    </w:p>
    <w:p>
      <w:r>
        <w:t>A/87/2023 - 13/27 -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w:t>
      </w:r>
    </w:p>
    <w:p>
      <w:r>
        <w:t>A/87/2023 - 14/27 -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11</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12</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13.1</w:t>
      </w:r>
    </w:p>
    <w:p>
      <w:r>
        <w:t>Pour pouvoir calculer le degré d'invalidité, l'administration (ou le juge, s'il y a eu un recours) a besoin de documents que le médecin, éventuellement aussi d'autres spécialistes, doivent lui fournir (ATF 122 V 157 consid. 1b). Pour apprécier le droit</w:t>
      </w:r>
    </w:p>
    <w:p>
      <w:r>
        <w:t>A/87/2023 - 15/27 -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13.3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w:t>
      </w:r>
    </w:p>
    <w:p>
      <w:r>
        <w:t>A/87/2023 - 16/27 - les références ; ATF 135 V 465 consid. 4.4. et les références ; ATF 125 V 351 consid. 3b/aa et les références).</w:t>
      </w:r>
    </w:p>
    <w:p>
      <w:r>
        <w:rPr>
          <w:b/>
        </w:rPr>
        <w:t>E. 13.4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13.5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w:t>
      </w:r>
    </w:p>
    <w:p>
      <w:r>
        <w:t>A/87/2023 - 17/27 -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13.6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13.7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14</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w:t>
      </w:r>
    </w:p>
    <w:p>
      <w:r>
        <w:t>A/87/2023 - 18/27 -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15.1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15.2</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w:t>
      </w:r>
    </w:p>
    <w:p>
      <w:r>
        <w:t>A/87/2023 - 19/27 -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15.3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w:t>
      </w:r>
    </w:p>
    <w:p>
      <w:r>
        <w:t>A/87/2023 - 20/27 -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w:t>
      </w:r>
    </w:p>
    <w:p>
      <w:r>
        <w:t>A/87/2023 - 21/27 - demander un complément à l'expert (ATF 137 V 210 consid. 4.4.1.3 et 4.4.1.4 ; SVR 2010 IV n. 49 p. 151, consid. 3.5 ; arrêt du Tribunal fédéral 8C_760/2011 du 26 janvier 2012 consid. 3).</w:t>
      </w:r>
    </w:p>
    <w:p>
      <w:r>
        <w:rPr>
          <w:b/>
        </w:rPr>
        <w:t>E. 19.1</w:t>
      </w:r>
    </w:p>
    <w:p>
      <w:r>
        <w:t>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rPr>
          <w:b/>
        </w:rPr>
        <w:t>E. 19.2</w:t>
      </w:r>
    </w:p>
    <w:p>
      <w:r>
        <w:t>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20</w:t>
      </w:r>
    </w:p>
    <w:p>
      <w:r>
        <w:t>En l’espèce, il est rappelé que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Au vu des rapports médicaux constants rédigés par le médecin traitant de la recourante, lui-même psychiatre, il existe un doute sur la valeur probante du rapport d’expertise du Dr G______, notamment en ce qui concerne les ressources personnelles de la recourante.</w:t>
      </w:r>
    </w:p>
    <w:p>
      <w:r>
        <w:t>A/87/2023 - 22/27 - Compte tenu de ces éléments, la chambre de céans n’a d’autre choix que d’ordonner une expertise judiciaire et de la confier au professeur H______, spécialiste FMH en psychiatrie et psychothérapie.</w:t>
      </w:r>
    </w:p>
    <w:p>
      <w:r>
        <w:t>A/87/2023 - 23/27 -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